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47433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723723">
              <w:rPr>
                <w:rFonts w:ascii="Times New Roman" w:eastAsia="標楷體" w:hAnsi="Times New Roman"/>
                <w:kern w:val="0"/>
              </w:rPr>
              <w:t>中文</w:t>
            </w:r>
            <w:r w:rsidRPr="00723723">
              <w:rPr>
                <w:rFonts w:ascii="Times New Roman" w:eastAsia="標楷體" w:hAnsi="Times New Roman"/>
                <w:kern w:val="0"/>
              </w:rPr>
              <w:t>:</w:t>
            </w:r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 xml:space="preserve"> </w:t>
            </w:r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>成本會計</w:t>
            </w:r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>(</w:t>
            </w:r>
            <w:proofErr w:type="gramStart"/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>一</w:t>
            </w:r>
            <w:proofErr w:type="gramEnd"/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C5BC1">
              <w:rPr>
                <w:rFonts w:ascii="Times New Roman" w:hAnsi="Times New Roman"/>
                <w:color w:val="000000"/>
              </w:rPr>
              <w:t>SS026D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723723">
              <w:rPr>
                <w:rFonts w:ascii="Times New Roman" w:eastAsia="標楷體" w:hAnsi="Times New Roman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>廖益興</w:t>
            </w:r>
          </w:p>
        </w:tc>
      </w:tr>
      <w:tr w:rsidR="0047433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Default="00474330" w:rsidP="00474330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>英文</w:t>
            </w:r>
            <w:r w:rsidRPr="00723723">
              <w:rPr>
                <w:rFonts w:ascii="Times New Roman" w:eastAsia="標楷體" w:hAnsi="Times New Roman"/>
              </w:rPr>
              <w:t>:</w:t>
            </w:r>
            <w:r w:rsidRPr="00723723">
              <w:rPr>
                <w:rFonts w:ascii="Times New Roman" w:eastAsia="標楷體" w:hAnsi="Times New Roman"/>
                <w:kern w:val="0"/>
              </w:rPr>
              <w:t xml:space="preserve"> Cost Accounting (I)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723723">
              <w:rPr>
                <w:rFonts w:ascii="Times New Roman" w:eastAsia="標楷體" w:hAnsi="Times New Roman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>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snapToGrid w:val="0"/>
              <w:spacing w:line="280" w:lineRule="exact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723723">
              <w:rPr>
                <w:rFonts w:ascii="Times New Roman" w:eastAsia="標楷體" w:hAnsi="Times New Roman"/>
                <w:color w:val="0D0D0D"/>
                <w:sz w:val="23"/>
                <w:szCs w:val="23"/>
              </w:rPr>
              <w:t>商學院會計學系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ind w:firstLine="12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474330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snapToGrid w:val="0"/>
              <w:spacing w:line="280" w:lineRule="exact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widowControl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74330"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 w:rsidR="00474330"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474330"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47433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3723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723723">
              <w:rPr>
                <w:rFonts w:ascii="Times New Roman" w:eastAsia="標楷體" w:hAnsi="Times New Roman"/>
                <w:bCs/>
                <w:kern w:val="0"/>
              </w:rPr>
              <w:t>預計總修課</w:t>
            </w:r>
            <w:proofErr w:type="gramEnd"/>
            <w:r w:rsidRPr="00723723">
              <w:rPr>
                <w:rFonts w:ascii="Times New Roman" w:eastAsia="標楷體" w:hAnsi="Times New Roman"/>
                <w:bCs/>
                <w:kern w:val="0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3723">
              <w:rPr>
                <w:rFonts w:ascii="Times New Roman" w:eastAsia="標楷體" w:hAnsi="Times New Roman"/>
                <w:color w:val="0D0D0D"/>
              </w:rPr>
              <w:t>80</w:t>
            </w:r>
          </w:p>
        </w:tc>
      </w:tr>
      <w:tr w:rsidR="00C66DC5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DC5" w:rsidRDefault="00C66DC5" w:rsidP="00C66DC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線上平臺</w:t>
            </w:r>
            <w:proofErr w:type="gramEnd"/>
          </w:p>
          <w:p w:rsidR="00C66DC5" w:rsidRDefault="00C66DC5" w:rsidP="00C66DC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DC5" w:rsidRDefault="00C66DC5" w:rsidP="00C66DC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474330">
            <w:pPr>
              <w:pStyle w:val="Standard"/>
              <w:snapToGrid w:val="0"/>
              <w:spacing w:line="280" w:lineRule="exact"/>
            </w:pPr>
            <w:r w:rsidRPr="00723723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</w:p>
          <w:p w:rsidR="00D25160" w:rsidRDefault="0047433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723723">
              <w:rPr>
                <w:rFonts w:ascii="Times New Roman" w:eastAsia="標楷體" w:hAnsi="Times New Roman"/>
                <w:kern w:val="0"/>
              </w:rPr>
              <w:t>使學習者了解</w:t>
            </w:r>
            <w:r w:rsidRPr="00723723">
              <w:rPr>
                <w:rFonts w:ascii="Times New Roman" w:eastAsia="標楷體" w:hAnsi="Times New Roman"/>
                <w:color w:val="000000"/>
              </w:rPr>
              <w:t>如何應用成本會計資訊協助管理人員從事企業策略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規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</w:rPr>
              <w:t>畫及營運分析</w:t>
            </w:r>
            <w:r w:rsidRPr="00723723">
              <w:rPr>
                <w:rFonts w:ascii="Times New Roman" w:eastAsia="標楷體" w:hAnsi="Times New Roman"/>
                <w:kern w:val="0"/>
              </w:rPr>
              <w:t>，並幫助學習者面對未來就業及國家考試的資格要求。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47433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723723">
              <w:rPr>
                <w:rFonts w:ascii="Times New Roman" w:eastAsia="標楷體" w:hAnsi="Times New Roman"/>
                <w:color w:val="0D0D0D"/>
              </w:rPr>
              <w:t>已修過初級會計學</w:t>
            </w:r>
            <w:r w:rsidRPr="00723723">
              <w:rPr>
                <w:rFonts w:ascii="Times New Roman" w:eastAsia="標楷體" w:hAnsi="Times New Roman"/>
                <w:color w:val="0D0D0D"/>
              </w:rPr>
              <w:t>(</w:t>
            </w:r>
            <w:proofErr w:type="gramStart"/>
            <w:r w:rsidRPr="00723723">
              <w:rPr>
                <w:rFonts w:ascii="Times New Roman" w:eastAsia="標楷體" w:hAnsi="Times New Roman"/>
                <w:color w:val="0D0D0D"/>
              </w:rPr>
              <w:t>一</w:t>
            </w:r>
            <w:proofErr w:type="gramEnd"/>
            <w:r w:rsidRPr="00723723">
              <w:rPr>
                <w:rFonts w:ascii="Times New Roman" w:eastAsia="標楷體" w:hAnsi="Times New Roman"/>
                <w:color w:val="0D0D0D"/>
              </w:rPr>
              <w:t>)(</w:t>
            </w:r>
            <w:r w:rsidRPr="00723723">
              <w:rPr>
                <w:rFonts w:ascii="Times New Roman" w:eastAsia="標楷體" w:hAnsi="Times New Roman"/>
                <w:color w:val="0D0D0D"/>
              </w:rPr>
              <w:t>二</w:t>
            </w:r>
            <w:r w:rsidRPr="00723723">
              <w:rPr>
                <w:rFonts w:ascii="Times New Roman" w:eastAsia="標楷體" w:hAnsi="Times New Roman"/>
                <w:color w:val="0D0D0D"/>
              </w:rPr>
              <w:t>)</w:t>
            </w: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</w:tr>
      <w:tr w:rsidR="0047433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B676E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23723">
              <w:rPr>
                <w:rFonts w:ascii="Times New Roman" w:eastAsia="Arial Unicode MS" w:hAnsi="Times New Roman"/>
                <w:color w:val="000000"/>
              </w:rPr>
              <w:t>course introduction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9:10~12:00</w:t>
            </w:r>
            <w:r w:rsidRPr="00723723">
              <w:rPr>
                <w:rFonts w:ascii="Times New Roman" w:eastAsia="標楷體" w:hAnsi="Times New Roman"/>
                <w:bCs/>
              </w:rPr>
              <w:t>管理</w:t>
            </w:r>
            <w:r w:rsidRPr="00723723">
              <w:rPr>
                <w:rFonts w:ascii="Times New Roman" w:eastAsia="標楷體" w:hAnsi="Times New Roman"/>
                <w:bCs/>
              </w:rPr>
              <w:t>401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B676E" w:rsidRDefault="00474330" w:rsidP="00474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bCs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D0D0D"/>
              </w:rPr>
            </w:pPr>
            <w:r w:rsidRPr="00723723">
              <w:rPr>
                <w:rFonts w:ascii="Times New Roman" w:eastAsia="標楷體" w:hAnsi="Times New Roman"/>
              </w:rPr>
              <w:t>Chapter1</w:t>
            </w:r>
            <w:r w:rsidRPr="00723723">
              <w:rPr>
                <w:rFonts w:ascii="Times New Roman" w:eastAsia="Arial Unicode MS" w:hAnsi="Times New Roman"/>
                <w:color w:val="000000"/>
              </w:rPr>
              <w:t xml:space="preserve"> The Accountant's Role in the Organization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B676E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>Chapter</w:t>
            </w:r>
            <w:proofErr w:type="gramStart"/>
            <w:r w:rsidRPr="00723723">
              <w:rPr>
                <w:rFonts w:ascii="Times New Roman" w:eastAsia="標楷體" w:hAnsi="Times New Roman"/>
              </w:rPr>
              <w:t xml:space="preserve">2 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An</w:t>
            </w:r>
            <w:proofErr w:type="gramEnd"/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 xml:space="preserve"> Introduction to Cost Terms and Purposes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B676E" w:rsidRDefault="00474330" w:rsidP="00474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bCs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>Chapter</w:t>
            </w:r>
            <w:proofErr w:type="gramStart"/>
            <w:r w:rsidRPr="00723723">
              <w:rPr>
                <w:rFonts w:ascii="Times New Roman" w:eastAsia="標楷體" w:hAnsi="Times New Roman"/>
              </w:rPr>
              <w:t xml:space="preserve">2 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An</w:t>
            </w:r>
            <w:proofErr w:type="gramEnd"/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 xml:space="preserve"> Introduction to Cost Terms and Purposes</w:t>
            </w:r>
          </w:p>
          <w:p w:rsidR="00474330" w:rsidRPr="00723723" w:rsidRDefault="00474330" w:rsidP="00474330">
            <w:pPr>
              <w:widowControl/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Chapter3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Cost-Volume Profit Analysis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B676E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7/6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Chapter3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Cost-Volume Profit Analysis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 w:hint="eastAsia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B676E" w:rsidRDefault="00474330" w:rsidP="00474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bCs/>
              </w:rPr>
              <w:t>7/6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Chapter4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Job Costing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B676E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7/7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Chapter4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Job Costing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B676E" w:rsidRDefault="00474330" w:rsidP="00474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bCs/>
              </w:rPr>
              <w:t>7/7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Chapter5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Activity-Based Costing and Activity-Based Management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B676E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7/13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Chapter5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Activity-Based Costing and Activity-Based Management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B676E" w:rsidRDefault="00474330" w:rsidP="00474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bCs/>
              </w:rPr>
              <w:t>7/13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23723">
              <w:rPr>
                <w:rFonts w:ascii="Times New Roman" w:eastAsia="標楷體" w:hAnsi="Times New Roman"/>
              </w:rPr>
              <w:t>Chapter6</w:t>
            </w:r>
            <w:r w:rsidRPr="00723723">
              <w:rPr>
                <w:rFonts w:ascii="Times New Roman" w:eastAsia="Arial Unicode MS" w:hAnsi="Times New Roman"/>
                <w:color w:val="000000"/>
              </w:rPr>
              <w:t xml:space="preserve">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Master Budget and Responsibility Accounting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jc w:val="center"/>
            </w:pPr>
            <w:r w:rsidRPr="00EE1BAF">
              <w:rPr>
                <w:rFonts w:ascii="Times New Roman" w:eastAsia="標楷體" w:hAnsi="Times New Roman" w:hint="eastAsia"/>
                <w:bCs/>
              </w:rPr>
              <w:t>7/1</w:t>
            </w: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M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id-term Exam.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9:10~12:00</w:t>
            </w:r>
          </w:p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管理</w:t>
            </w:r>
            <w:r w:rsidRPr="00723723">
              <w:rPr>
                <w:rFonts w:ascii="Times New Roman" w:eastAsia="標楷體" w:hAnsi="Times New Roman"/>
                <w:bCs/>
              </w:rPr>
              <w:t>401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jc w:val="center"/>
            </w:pPr>
            <w:r w:rsidRPr="00EE1BAF">
              <w:rPr>
                <w:rFonts w:ascii="Times New Roman" w:eastAsia="標楷體" w:hAnsi="Times New Roman" w:hint="eastAsia"/>
                <w:bCs/>
              </w:rPr>
              <w:t>7/1</w:t>
            </w: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>Chapter6</w:t>
            </w:r>
            <w:r w:rsidRPr="00723723">
              <w:rPr>
                <w:rFonts w:ascii="Times New Roman" w:eastAsia="Arial Unicode MS" w:hAnsi="Times New Roman"/>
                <w:color w:val="000000"/>
              </w:rPr>
              <w:t xml:space="preserve">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Master Budget and Responsibility Accounting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jc w:val="center"/>
            </w:pPr>
            <w:r w:rsidRPr="00474E23">
              <w:rPr>
                <w:rFonts w:ascii="Times New Roman" w:eastAsia="標楷體" w:hAnsi="Times New Roman" w:hint="eastAsia"/>
                <w:bCs/>
              </w:rPr>
              <w:t>7/</w:t>
            </w:r>
            <w:r>
              <w:rPr>
                <w:rFonts w:ascii="Times New Roman" w:eastAsia="標楷體" w:hAnsi="Times New Roman" w:hint="eastAsia"/>
                <w:bCs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Chapter7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 xml:space="preserve">Flexible Budgets, Direct-Cost Variances, and Management Control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lastRenderedPageBreak/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jc w:val="center"/>
            </w:pPr>
            <w:r w:rsidRPr="00474E23">
              <w:rPr>
                <w:rFonts w:ascii="Times New Roman" w:eastAsia="標楷體" w:hAnsi="Times New Roman" w:hint="eastAsia"/>
                <w:bCs/>
              </w:rPr>
              <w:t>7/</w:t>
            </w:r>
            <w:r>
              <w:rPr>
                <w:rFonts w:ascii="Times New Roman" w:eastAsia="標楷體" w:hAnsi="Times New Roman" w:hint="eastAsia"/>
                <w:bCs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Chapter7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Flexible Budgets, Direct-Cost Variances, and Management Control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B676E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7/21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Arial Unicode MS" w:hAnsi="Times New Roman"/>
                <w:color w:val="000000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Chapter8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Flexible Budgets, Overhead-Cost Variances, and Management Control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B676E" w:rsidRDefault="00474330" w:rsidP="00474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bCs/>
              </w:rPr>
              <w:t>7/</w:t>
            </w:r>
            <w:r>
              <w:rPr>
                <w:rFonts w:ascii="Times New Roman" w:eastAsia="標楷體" w:hAnsi="Times New Roman"/>
                <w:bCs/>
              </w:rPr>
              <w:t>2</w:t>
            </w:r>
            <w:r>
              <w:rPr>
                <w:rFonts w:ascii="Times New Roman" w:eastAsia="標楷體" w:hAnsi="Times New Roman" w:hint="eastAsia"/>
                <w:bCs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Chapter8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Flexible Budgets, Overhead-Cost Variances, and Management Control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B676E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7/</w:t>
            </w:r>
            <w:r>
              <w:rPr>
                <w:rFonts w:ascii="Times New Roman" w:eastAsia="標楷體" w:hAnsi="Times New Roman"/>
                <w:bCs/>
              </w:rPr>
              <w:t>2</w:t>
            </w:r>
            <w:r>
              <w:rPr>
                <w:rFonts w:ascii="Times New Roman" w:eastAsia="標楷體" w:hAnsi="Times New Roman" w:hint="eastAsia"/>
                <w:bCs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723723">
              <w:rPr>
                <w:rFonts w:ascii="Times New Roman" w:eastAsia="標楷體" w:hAnsi="Times New Roman"/>
              </w:rPr>
              <w:t xml:space="preserve">Chapter8 </w:t>
            </w:r>
            <w:r w:rsidRPr="00723723">
              <w:rPr>
                <w:rFonts w:ascii="Times New Roman" w:eastAsia="Arial Unicode MS" w:hAnsi="Times New Roman"/>
                <w:color w:val="000000"/>
                <w:kern w:val="0"/>
              </w:rPr>
              <w:t>Flexible Budgets, Overhead-Cost Variances, and Management Control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 w:rsidTr="005F2FC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B676E" w:rsidRDefault="00474330" w:rsidP="00474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bCs/>
              </w:rPr>
              <w:t>7/</w:t>
            </w:r>
            <w:r>
              <w:rPr>
                <w:rFonts w:ascii="Times New Roman" w:eastAsia="標楷體" w:hAnsi="Times New Roman"/>
                <w:bCs/>
              </w:rPr>
              <w:t>2</w:t>
            </w:r>
            <w:r>
              <w:rPr>
                <w:rFonts w:ascii="Times New Roman" w:eastAsia="標楷體" w:hAnsi="Times New Roman" w:hint="eastAsia"/>
                <w:bCs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Final Exam.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3</w:t>
            </w:r>
          </w:p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13</w:t>
            </w:r>
            <w:r w:rsidRPr="00723723">
              <w:rPr>
                <w:rFonts w:ascii="Times New Roman" w:eastAsia="標楷體" w:hAnsi="Times New Roman"/>
                <w:bCs/>
              </w:rPr>
              <w:t>:10~1</w:t>
            </w:r>
            <w:r>
              <w:rPr>
                <w:rFonts w:ascii="Times New Roman" w:eastAsia="標楷體" w:hAnsi="Times New Roman"/>
                <w:bCs/>
              </w:rPr>
              <w:t>6</w:t>
            </w:r>
            <w:r w:rsidRPr="00723723">
              <w:rPr>
                <w:rFonts w:ascii="Times New Roman" w:eastAsia="標楷體" w:hAnsi="Times New Roman"/>
                <w:bCs/>
              </w:rPr>
              <w:t>:00</w:t>
            </w:r>
          </w:p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723723">
              <w:rPr>
                <w:rFonts w:ascii="Times New Roman" w:eastAsia="標楷體" w:hAnsi="Times New Roman"/>
                <w:bCs/>
              </w:rPr>
              <w:t>管理</w:t>
            </w:r>
            <w:r w:rsidRPr="00723723">
              <w:rPr>
                <w:rFonts w:ascii="Times New Roman" w:eastAsia="標楷體" w:hAnsi="Times New Roman"/>
                <w:bCs/>
              </w:rPr>
              <w:t>401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7433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Pr="00723723" w:rsidRDefault="00474330" w:rsidP="00474330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45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4330" w:rsidRDefault="00474330" w:rsidP="0047433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D25160" w:rsidRDefault="00474330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D25160" w:rsidRDefault="00474330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  <w:r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  <w:t xml:space="preserve"> </w:t>
            </w:r>
          </w:p>
          <w:p w:rsidR="00D25160" w:rsidRDefault="00474330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</w:p>
          <w:p w:rsidR="00D25160" w:rsidRDefault="00474330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Pr="00C70BF3">
              <w:rPr>
                <w:rFonts w:ascii="Times New Roman" w:eastAsiaTheme="minorEastAsia" w:hAnsi="Times New Roman"/>
                <w:szCs w:val="24"/>
                <w:u w:val="single"/>
              </w:rPr>
              <w:t>3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Pr="00C70BF3">
              <w:rPr>
                <w:rFonts w:ascii="Times New Roman" w:eastAsia="標楷體" w:hAnsi="Times New Roman"/>
                <w:bCs/>
                <w:color w:val="0000FF"/>
                <w:szCs w:val="24"/>
                <w:u w:val="single"/>
              </w:rPr>
              <w:t>9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70BF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.8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C70BF3"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C70BF3"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  <w:bookmarkStart w:id="0" w:name="_GoBack"/>
            <w:bookmarkEnd w:id="0"/>
          </w:p>
          <w:p w:rsidR="00D25160" w:rsidRDefault="00C70BF3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3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小時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/</w:t>
            </w:r>
            <w:proofErr w:type="gramStart"/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週</w:t>
            </w:r>
            <w:proofErr w:type="gramEnd"/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(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時間待定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)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，透過</w:t>
            </w:r>
            <w:proofErr w:type="spellStart"/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i</w:t>
            </w:r>
            <w:proofErr w:type="spellEnd"/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-learning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平台討論區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Pr="00723723">
              <w:rPr>
                <w:rFonts w:ascii="Times New Roman" w:eastAsia="標楷體" w:hAnsi="Times New Roman"/>
                <w:color w:val="0D0D0D"/>
                <w:u w:val="single"/>
              </w:rPr>
              <w:t>yiliao@cycu.edu.tw</w:t>
            </w:r>
            <w:r w:rsidRPr="00723723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</w:t>
            </w:r>
            <w:r w:rsidRPr="00723723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723723">
              <w:rPr>
                <w:rFonts w:ascii="Times New Roman" w:eastAsia="標楷體" w:hAnsi="Times New Roman"/>
                <w:szCs w:val="24"/>
              </w:rPr>
              <w:t>分機：</w:t>
            </w:r>
            <w:r w:rsidRPr="00723723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5317   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C70BF3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</w:rPr>
              <w:t>待聘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</w:p>
          <w:p w:rsidR="00D25160" w:rsidRDefault="00C70BF3">
            <w:pPr>
              <w:pStyle w:val="Standard"/>
              <w:snapToGrid w:val="0"/>
              <w:spacing w:line="280" w:lineRule="exact"/>
              <w:jc w:val="both"/>
            </w:pPr>
            <w:r w:rsidRPr="00474330">
              <w:rPr>
                <w:rFonts w:ascii="Times New Roman" w:hAnsi="Times New Roman"/>
                <w:sz w:val="40"/>
                <w:szCs w:val="40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70BF3" w:rsidTr="00C70BF3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BF3" w:rsidRDefault="00C70BF3" w:rsidP="00C70BF3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0BF3" w:rsidRPr="00723723" w:rsidRDefault="00C70BF3" w:rsidP="00C70BF3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C70BF3">
              <w:rPr>
                <w:rFonts w:ascii="Times New Roman" w:hAnsi="Times New Roman"/>
                <w:sz w:val="40"/>
                <w:szCs w:val="40"/>
              </w:rPr>
              <w:t>■</w:t>
            </w:r>
            <w:r w:rsidRPr="00723723">
              <w:rPr>
                <w:rFonts w:ascii="Times New Roman" w:eastAsia="標楷體" w:hAnsi="Times New Roman"/>
                <w:bCs/>
              </w:rPr>
              <w:t>平時成績：</w:t>
            </w:r>
            <w:r w:rsidRPr="00723723">
              <w:rPr>
                <w:rFonts w:ascii="Times New Roman" w:eastAsia="標楷體" w:hAnsi="Times New Roman"/>
                <w:bCs/>
              </w:rPr>
              <w:t>30</w:t>
            </w:r>
            <w:r w:rsidRPr="00723723">
              <w:rPr>
                <w:rFonts w:ascii="Times New Roman" w:eastAsia="標楷體" w:hAnsi="Times New Roman"/>
                <w:bCs/>
              </w:rPr>
              <w:t>％</w:t>
            </w:r>
          </w:p>
          <w:p w:rsidR="00C70BF3" w:rsidRPr="00723723" w:rsidRDefault="00C70BF3" w:rsidP="00C70BF3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C70BF3">
              <w:rPr>
                <w:rFonts w:ascii="Times New Roman" w:hAnsi="Times New Roman"/>
                <w:sz w:val="40"/>
                <w:szCs w:val="40"/>
              </w:rPr>
              <w:t>■</w:t>
            </w:r>
            <w:r w:rsidRPr="00723723">
              <w:rPr>
                <w:rFonts w:ascii="Times New Roman" w:eastAsia="標楷體" w:hAnsi="Times New Roman"/>
                <w:bCs/>
              </w:rPr>
              <w:t>期中考成績：</w:t>
            </w:r>
            <w:r w:rsidRPr="00723723">
              <w:rPr>
                <w:rFonts w:ascii="Times New Roman" w:eastAsia="標楷體" w:hAnsi="Times New Roman"/>
                <w:bCs/>
              </w:rPr>
              <w:t>30</w:t>
            </w:r>
            <w:r w:rsidRPr="00723723">
              <w:rPr>
                <w:rFonts w:ascii="Times New Roman" w:eastAsia="標楷體" w:hAnsi="Times New Roman"/>
                <w:bCs/>
              </w:rPr>
              <w:t>％</w:t>
            </w:r>
          </w:p>
          <w:p w:rsidR="00C70BF3" w:rsidRPr="00723723" w:rsidRDefault="00C70BF3" w:rsidP="00C70BF3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C70BF3">
              <w:rPr>
                <w:rFonts w:ascii="Times New Roman" w:hAnsi="Times New Roman"/>
                <w:sz w:val="40"/>
                <w:szCs w:val="40"/>
              </w:rPr>
              <w:t>■</w:t>
            </w:r>
            <w:proofErr w:type="gramStart"/>
            <w:r w:rsidRPr="00723723">
              <w:rPr>
                <w:rFonts w:ascii="Times New Roman" w:eastAsia="標楷體" w:hAnsi="Times New Roman"/>
              </w:rPr>
              <w:t>線上互動</w:t>
            </w:r>
            <w:proofErr w:type="gramEnd"/>
            <w:r w:rsidRPr="00723723"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 w:hint="eastAsia"/>
              </w:rPr>
              <w:t>10</w:t>
            </w:r>
            <w:r w:rsidRPr="00723723">
              <w:rPr>
                <w:rFonts w:ascii="Times New Roman" w:eastAsia="標楷體" w:hAnsi="Times New Roman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0BF3" w:rsidRPr="00723723" w:rsidRDefault="00C70BF3" w:rsidP="00C70BF3">
            <w:pPr>
              <w:spacing w:line="280" w:lineRule="exact"/>
              <w:ind w:left="16"/>
              <w:rPr>
                <w:rFonts w:ascii="Times New Roman" w:eastAsia="標楷體" w:hAnsi="Times New Roman"/>
                <w:bCs/>
              </w:rPr>
            </w:pPr>
            <w:r w:rsidRPr="00C70BF3">
              <w:rPr>
                <w:rFonts w:ascii="Times New Roman" w:hAnsi="Times New Roman"/>
                <w:sz w:val="40"/>
                <w:szCs w:val="40"/>
              </w:rPr>
              <w:t>■</w:t>
            </w:r>
            <w:r w:rsidRPr="00723723">
              <w:rPr>
                <w:rFonts w:ascii="Times New Roman" w:eastAsia="標楷體" w:hAnsi="Times New Roman"/>
                <w:bCs/>
              </w:rPr>
              <w:t>作業成績：％</w:t>
            </w:r>
          </w:p>
          <w:p w:rsidR="00C70BF3" w:rsidRPr="00723723" w:rsidRDefault="00C70BF3" w:rsidP="00C70BF3">
            <w:pPr>
              <w:spacing w:line="280" w:lineRule="exact"/>
              <w:ind w:left="16"/>
              <w:rPr>
                <w:rFonts w:ascii="Times New Roman" w:eastAsia="標楷體" w:hAnsi="Times New Roman"/>
                <w:bCs/>
              </w:rPr>
            </w:pPr>
            <w:r w:rsidRPr="00C70BF3">
              <w:rPr>
                <w:rFonts w:ascii="Times New Roman" w:hAnsi="Times New Roman"/>
                <w:sz w:val="40"/>
                <w:szCs w:val="40"/>
              </w:rPr>
              <w:t>■</w:t>
            </w:r>
            <w:r w:rsidRPr="00723723">
              <w:rPr>
                <w:rFonts w:ascii="Times New Roman" w:eastAsia="標楷體" w:hAnsi="Times New Roman"/>
                <w:bCs/>
              </w:rPr>
              <w:t>期末考成績：</w:t>
            </w:r>
            <w:r w:rsidRPr="00723723">
              <w:rPr>
                <w:rFonts w:ascii="Times New Roman" w:eastAsia="標楷體" w:hAnsi="Times New Roman"/>
                <w:bCs/>
              </w:rPr>
              <w:t>30</w:t>
            </w:r>
            <w:r w:rsidRPr="00723723">
              <w:rPr>
                <w:rFonts w:ascii="Times New Roman" w:eastAsia="標楷體" w:hAnsi="Times New Roman"/>
                <w:bCs/>
              </w:rPr>
              <w:t>％</w:t>
            </w:r>
          </w:p>
          <w:p w:rsidR="00C70BF3" w:rsidRPr="00723723" w:rsidRDefault="00C70BF3" w:rsidP="00C70BF3">
            <w:pPr>
              <w:snapToGrid w:val="0"/>
              <w:spacing w:line="280" w:lineRule="exact"/>
              <w:ind w:left="16"/>
              <w:jc w:val="both"/>
              <w:rPr>
                <w:rFonts w:ascii="Times New Roman" w:eastAsia="標楷體" w:hAnsi="Times New Roman"/>
              </w:rPr>
            </w:pPr>
            <w:r w:rsidRPr="00723723">
              <w:rPr>
                <w:rFonts w:ascii="Times New Roman" w:eastAsia="標楷體" w:hAnsi="Times New Roman"/>
                <w:bCs/>
              </w:rPr>
              <w:t>□</w:t>
            </w:r>
            <w:r w:rsidRPr="00723723">
              <w:rPr>
                <w:rFonts w:ascii="Times New Roman" w:eastAsia="標楷體" w:hAnsi="Times New Roman"/>
                <w:bCs/>
              </w:rPr>
              <w:t>其他（</w:t>
            </w:r>
            <w:r w:rsidRPr="00723723">
              <w:rPr>
                <w:rFonts w:ascii="Times New Roman" w:eastAsia="標楷體" w:hAnsi="Times New Roman"/>
                <w:bCs/>
                <w:u w:val="single"/>
              </w:rPr>
              <w:t xml:space="preserve">                  </w:t>
            </w:r>
            <w:r w:rsidRPr="00723723">
              <w:rPr>
                <w:rFonts w:ascii="Times New Roman" w:eastAsia="標楷體" w:hAnsi="Times New Roman"/>
                <w:bCs/>
              </w:rPr>
              <w:t>）：％</w:t>
            </w:r>
            <w:r w:rsidRPr="00723723">
              <w:rPr>
                <w:rFonts w:ascii="Times New Roman" w:eastAsia="標楷體" w:hAnsi="Times New Roman"/>
              </w:rPr>
              <w:t xml:space="preserve">   </w:t>
            </w:r>
          </w:p>
        </w:tc>
      </w:tr>
      <w:tr w:rsidR="00D25160" w:rsidTr="00C70BF3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BF3" w:rsidRDefault="00C70BF3" w:rsidP="00C70BF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 w:cs="Times New Roman"/>
                <w:szCs w:val="23"/>
              </w:rPr>
            </w:pPr>
            <w:r w:rsidRPr="00723723">
              <w:rPr>
                <w:rFonts w:ascii="Times New Roman" w:eastAsia="標楷體" w:hAnsi="Times New Roman" w:cs="Times New Roman"/>
                <w:szCs w:val="23"/>
              </w:rPr>
              <w:t>除不可抗拒之情況導致無法於指定時間參加考試者，其餘一律不予補考。</w:t>
            </w:r>
          </w:p>
          <w:p w:rsidR="00D25160" w:rsidRPr="00C70BF3" w:rsidRDefault="00C70BF3" w:rsidP="00C70BF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 w:cs="Times New Roman" w:hint="eastAsia"/>
                <w:szCs w:val="23"/>
              </w:rPr>
            </w:pPr>
            <w:r w:rsidRPr="00C70BF3">
              <w:rPr>
                <w:rFonts w:ascii="Times New Roman" w:eastAsia="標楷體" w:hAnsi="Times New Roman"/>
                <w:szCs w:val="23"/>
              </w:rPr>
              <w:t>作業或議題討論遲交以零分計。作業有任何一題抄襲者，該次作業一律</w:t>
            </w:r>
            <w:proofErr w:type="gramStart"/>
            <w:r w:rsidRPr="00C70BF3">
              <w:rPr>
                <w:rFonts w:ascii="Times New Roman" w:eastAsia="標楷體" w:hAnsi="Times New Roman"/>
                <w:szCs w:val="23"/>
              </w:rPr>
              <w:t>以零計</w:t>
            </w:r>
            <w:proofErr w:type="gramEnd"/>
            <w:r w:rsidRPr="00C70BF3">
              <w:rPr>
                <w:rFonts w:ascii="Times New Roman" w:eastAsia="標楷體" w:hAnsi="Times New Roman"/>
                <w:szCs w:val="23"/>
              </w:rPr>
              <w:t>。</w:t>
            </w:r>
          </w:p>
        </w:tc>
      </w:tr>
      <w:tr w:rsidR="00D25160" w:rsidTr="00C70BF3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2C4" w:rsidRDefault="00A322C4">
      <w:r>
        <w:separator/>
      </w:r>
    </w:p>
  </w:endnote>
  <w:endnote w:type="continuationSeparator" w:id="0">
    <w:p w:rsidR="00A322C4" w:rsidRDefault="00A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66DC5">
      <w:rPr>
        <w:noProof/>
      </w:rPr>
      <w:t>4</w:t>
    </w:r>
    <w:r>
      <w:fldChar w:fldCharType="end"/>
    </w:r>
    <w:r>
      <w:t>/3</w:t>
    </w:r>
  </w:p>
  <w:p w:rsidR="00CA647A" w:rsidRDefault="00A322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2C4" w:rsidRDefault="00A322C4">
      <w:r>
        <w:rPr>
          <w:color w:val="000000"/>
        </w:rPr>
        <w:separator/>
      </w:r>
    </w:p>
  </w:footnote>
  <w:footnote w:type="continuationSeparator" w:id="0">
    <w:p w:rsidR="00A322C4" w:rsidRDefault="00A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7C7A2374"/>
    <w:multiLevelType w:val="hybridMultilevel"/>
    <w:tmpl w:val="BE9C2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60"/>
    <w:rsid w:val="00147963"/>
    <w:rsid w:val="00231796"/>
    <w:rsid w:val="00273114"/>
    <w:rsid w:val="004737F3"/>
    <w:rsid w:val="00474330"/>
    <w:rsid w:val="00485B43"/>
    <w:rsid w:val="004B2408"/>
    <w:rsid w:val="005020C1"/>
    <w:rsid w:val="005C4837"/>
    <w:rsid w:val="005F35F5"/>
    <w:rsid w:val="00866CC8"/>
    <w:rsid w:val="008A49C2"/>
    <w:rsid w:val="008D53A3"/>
    <w:rsid w:val="0094599D"/>
    <w:rsid w:val="009729F5"/>
    <w:rsid w:val="00A322C4"/>
    <w:rsid w:val="00AE1C43"/>
    <w:rsid w:val="00C66DC5"/>
    <w:rsid w:val="00C70BF3"/>
    <w:rsid w:val="00D15FB0"/>
    <w:rsid w:val="00D25160"/>
    <w:rsid w:val="00E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BBCD4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nhideWhenUsed/>
    <w:rsid w:val="00147963"/>
    <w:rPr>
      <w:color w:val="0563C1" w:themeColor="hyperlink"/>
      <w:u w:val="single"/>
    </w:rPr>
  </w:style>
  <w:style w:type="paragraph" w:customStyle="1" w:styleId="Default">
    <w:name w:val="Default"/>
    <w:rsid w:val="00C70BF3"/>
    <w:pPr>
      <w:autoSpaceDE w:val="0"/>
      <w:adjustRightInd w:val="0"/>
      <w:textAlignment w:val="auto"/>
    </w:pPr>
    <w:rPr>
      <w:rFonts w:ascii="標楷體" w:hAnsi="標楷體" w:cs="標楷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廖益興</cp:lastModifiedBy>
  <cp:revision>3</cp:revision>
  <dcterms:created xsi:type="dcterms:W3CDTF">2026-04-13T07:39:00Z</dcterms:created>
  <dcterms:modified xsi:type="dcterms:W3CDTF">2026-04-16T01:40:00Z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