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6085" w14:textId="77777777" w:rsidR="003278DA" w:rsidRDefault="00000000">
      <w:pPr>
        <w:pStyle w:val="Standard"/>
        <w:snapToGrid w:val="0"/>
        <w:jc w:val="center"/>
      </w:pPr>
      <w:r>
        <w:rPr>
          <w:rFonts w:ascii="標楷體" w:eastAsia="標楷體" w:hAnsi="標楷體" w:cs="標楷體"/>
          <w:b/>
          <w:color w:val="0D0D0D"/>
          <w:sz w:val="40"/>
          <w:szCs w:val="40"/>
        </w:rPr>
        <w:t>大專校院遠距教學課程－教學計畫</w:t>
      </w:r>
      <w:r>
        <w:rPr>
          <w:rFonts w:ascii="標楷體" w:eastAsia="標楷體" w:hAnsi="標楷體" w:cs="標楷體"/>
          <w:b/>
          <w:bCs/>
          <w:color w:val="0D0D0D"/>
          <w:sz w:val="40"/>
          <w:szCs w:val="40"/>
        </w:rPr>
        <w:t>大綱(格式)</w:t>
      </w:r>
    </w:p>
    <w:p w14:paraId="273A9AD2" w14:textId="77777777" w:rsidR="003278DA" w:rsidRDefault="00000000">
      <w:pPr>
        <w:pStyle w:val="Standard"/>
        <w:snapToGrid w:val="0"/>
        <w:jc w:val="both"/>
        <w:rPr>
          <w:rFonts w:ascii="標楷體" w:eastAsia="標楷體" w:hAnsi="標楷體" w:cs="標楷體"/>
          <w:color w:val="0D0D0D"/>
          <w:sz w:val="22"/>
        </w:rPr>
      </w:pPr>
      <w:r>
        <w:rPr>
          <w:rFonts w:ascii="標楷體" w:eastAsia="標楷體" w:hAnsi="標楷體" w:cs="標楷體"/>
          <w:color w:val="0D0D0D"/>
          <w:sz w:val="22"/>
        </w:rPr>
        <w:t>填表說明：</w:t>
      </w:r>
    </w:p>
    <w:p w14:paraId="0E522F3A" w14:textId="77777777" w:rsidR="003278DA" w:rsidRDefault="00000000">
      <w:pPr>
        <w:pStyle w:val="Standard"/>
        <w:numPr>
          <w:ilvl w:val="0"/>
          <w:numId w:val="2"/>
        </w:numPr>
        <w:tabs>
          <w:tab w:val="left" w:pos="720"/>
        </w:tabs>
        <w:snapToGrid w:val="0"/>
        <w:ind w:left="360"/>
        <w:jc w:val="both"/>
      </w:pPr>
      <w:r>
        <w:rPr>
          <w:rFonts w:ascii="標楷體" w:eastAsia="標楷體" w:hAnsi="標楷體"/>
          <w:sz w:val="22"/>
        </w:rPr>
        <w:t>依據</w:t>
      </w:r>
      <w:r>
        <w:rPr>
          <w:rFonts w:ascii="標楷體" w:eastAsia="標楷體" w:hAnsi="標楷體"/>
          <w:b/>
          <w:sz w:val="22"/>
        </w:rPr>
        <w:t>專科以上學校遠距教學實施辦法第6條</w:t>
      </w:r>
      <w:r>
        <w:rPr>
          <w:rFonts w:ascii="標楷體" w:eastAsia="標楷體" w:hAnsi="標楷體"/>
          <w:sz w:val="22"/>
        </w:rPr>
        <w:t>：學校開授遠距教學課程，應依學校規定由開課單位擬具教學計畫，依大學法施行細則及專科學校法規定之課程規劃及研議程序辦理，經教務相關之校級會議通過後實施，並應公告於網路。前項教學計畫，應載明教學目標、修讀對象、課程大綱、上課方式、師生互動討論、成績評量方式及上課注意事項。</w:t>
      </w:r>
    </w:p>
    <w:p w14:paraId="01EA7BBF" w14:textId="77777777" w:rsidR="003278DA" w:rsidRDefault="00000000">
      <w:pPr>
        <w:pStyle w:val="Standard"/>
        <w:numPr>
          <w:ilvl w:val="0"/>
          <w:numId w:val="2"/>
        </w:numPr>
        <w:tabs>
          <w:tab w:val="left" w:pos="720"/>
        </w:tabs>
        <w:snapToGrid w:val="0"/>
        <w:ind w:left="360"/>
        <w:jc w:val="both"/>
      </w:pPr>
      <w:r>
        <w:rPr>
          <w:rFonts w:ascii="標楷體" w:eastAsia="標楷體" w:hAnsi="標楷體" w:cs="標楷體"/>
          <w:color w:val="0D0D0D"/>
          <w:sz w:val="22"/>
        </w:rPr>
        <w:t>教學計畫大綱如下，課程教學計畫連結網址，請填入</w:t>
      </w:r>
      <w:r>
        <w:rPr>
          <w:rFonts w:ascii="標楷體" w:eastAsia="標楷體" w:hAnsi="標楷體"/>
          <w:bCs/>
          <w:color w:val="0D0D0D"/>
          <w:sz w:val="22"/>
        </w:rPr>
        <w:t>教育部「大學校院課程網」或「技職校院課程網」</w:t>
      </w:r>
      <w:r>
        <w:rPr>
          <w:rFonts w:ascii="標楷體" w:eastAsia="標楷體" w:hAnsi="標楷體" w:cs="標楷體"/>
          <w:color w:val="0D0D0D"/>
          <w:sz w:val="22"/>
        </w:rPr>
        <w:t>之「課程大綱」欄位，且能有效連結閱覽</w:t>
      </w:r>
      <w:r>
        <w:rPr>
          <w:rFonts w:ascii="標楷體" w:eastAsia="標楷體" w:hAnsi="標楷體" w:cs="新細明體, PMingLiU"/>
          <w:color w:val="0D0D0D"/>
          <w:kern w:val="0"/>
          <w:sz w:val="22"/>
        </w:rPr>
        <w:t>，才予以備查。</w:t>
      </w:r>
    </w:p>
    <w:p w14:paraId="1B9A004B" w14:textId="77777777" w:rsidR="003278DA" w:rsidRDefault="00000000">
      <w:pPr>
        <w:pStyle w:val="Standard"/>
        <w:numPr>
          <w:ilvl w:val="0"/>
          <w:numId w:val="2"/>
        </w:numPr>
        <w:tabs>
          <w:tab w:val="left" w:pos="720"/>
        </w:tabs>
        <w:snapToGrid w:val="0"/>
        <w:ind w:left="360"/>
        <w:jc w:val="both"/>
      </w:pPr>
      <w:r>
        <w:rPr>
          <w:rFonts w:ascii="標楷體" w:eastAsia="標楷體" w:hAnsi="標楷體"/>
          <w:color w:val="0D0D0D"/>
          <w:sz w:val="22"/>
        </w:rPr>
        <w:t>本件提報大綱為</w:t>
      </w:r>
      <w:r>
        <w:rPr>
          <w:rFonts w:ascii="標楷體" w:eastAsia="標楷體" w:hAnsi="標楷體"/>
          <w:color w:val="0D0D0D"/>
          <w:sz w:val="22"/>
          <w:u w:val="single"/>
        </w:rPr>
        <w:t>基本填寫項目</w:t>
      </w:r>
      <w:r>
        <w:rPr>
          <w:rFonts w:ascii="標楷體" w:eastAsia="標楷體" w:hAnsi="標楷體"/>
          <w:color w:val="0D0D0D"/>
          <w:sz w:val="22"/>
        </w:rPr>
        <w:t>，實際撰寫內容格式，學校可依需求進行調整設計。</w:t>
      </w:r>
    </w:p>
    <w:p w14:paraId="7E09EFAC" w14:textId="77777777" w:rsidR="003278DA" w:rsidRDefault="003278DA">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000" w:firstRow="0" w:lastRow="0" w:firstColumn="0" w:lastColumn="0" w:noHBand="0" w:noVBand="0"/>
      </w:tblPr>
      <w:tblGrid>
        <w:gridCol w:w="608"/>
        <w:gridCol w:w="1192"/>
        <w:gridCol w:w="252"/>
        <w:gridCol w:w="2066"/>
        <w:gridCol w:w="602"/>
        <w:gridCol w:w="1000"/>
        <w:gridCol w:w="151"/>
        <w:gridCol w:w="990"/>
        <w:gridCol w:w="214"/>
        <w:gridCol w:w="920"/>
        <w:gridCol w:w="833"/>
        <w:gridCol w:w="699"/>
        <w:gridCol w:w="1084"/>
      </w:tblGrid>
      <w:tr w:rsidR="003278DA" w14:paraId="57EB15B5" w14:textId="77777777">
        <w:trPr>
          <w:cantSplit/>
          <w:trHeight w:val="534"/>
          <w:jc w:val="center"/>
        </w:trPr>
        <w:tc>
          <w:tcPr>
            <w:tcW w:w="4720" w:type="dxa"/>
            <w:gridSpan w:val="5"/>
            <w:tcBorders>
              <w:top w:val="single" w:sz="18" w:space="0" w:color="000000"/>
              <w:left w:val="single" w:sz="18" w:space="0" w:color="000000"/>
              <w:bottom w:val="single" w:sz="4" w:space="0" w:color="000000"/>
            </w:tcBorders>
            <w:tcMar>
              <w:top w:w="0" w:type="dxa"/>
              <w:left w:w="28" w:type="dxa"/>
              <w:bottom w:w="0" w:type="dxa"/>
              <w:right w:w="28" w:type="dxa"/>
            </w:tcMar>
            <w:vAlign w:val="center"/>
          </w:tcPr>
          <w:p w14:paraId="5E3C93B1" w14:textId="77777777" w:rsidR="003278DA" w:rsidRDefault="00000000">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14:paraId="54FAD108"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531F0AE" w14:textId="77777777" w:rsidR="003278DA" w:rsidRDefault="00000000">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u w:val="single"/>
              </w:rPr>
              <w:t xml:space="preserve">  114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□上學期 □下學期 ■暑修</w:t>
            </w:r>
          </w:p>
        </w:tc>
      </w:tr>
      <w:tr w:rsidR="003278DA" w14:paraId="289F6BCC" w14:textId="77777777">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70AC9A11" w14:textId="77777777" w:rsidR="003278DA" w:rsidRDefault="00000000">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□打ˇ)</w:t>
            </w:r>
          </w:p>
        </w:tc>
      </w:tr>
      <w:tr w:rsidR="003278DA" w14:paraId="04513762" w14:textId="77777777">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6F74110"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87AF05" w14:textId="77777777" w:rsidR="003278DA" w:rsidRDefault="00000000">
            <w:pPr>
              <w:pStyle w:val="Standard"/>
              <w:spacing w:line="280" w:lineRule="exact"/>
              <w:jc w:val="both"/>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 xml:space="preserve">: </w:t>
            </w:r>
            <w:r>
              <w:rPr>
                <w:rFonts w:ascii="新細明體, PMingLiU" w:eastAsia="標楷體" w:hAnsi="新細明體, PMingLiU" w:cs="新細明體, PMingLiU"/>
                <w:kern w:val="0"/>
                <w:szCs w:val="24"/>
              </w:rPr>
              <w:t>機械設計</w:t>
            </w:r>
            <w:r>
              <w:rPr>
                <w:rFonts w:ascii="新細明體, PMingLiU" w:eastAsia="標楷體" w:hAnsi="新細明體, PMingLiU" w:cs="新細明體, PMingLiU"/>
                <w:kern w:val="0"/>
                <w:szCs w:val="24"/>
              </w:rPr>
              <w:t>(</w:t>
            </w:r>
            <w:r>
              <w:rPr>
                <w:rFonts w:ascii="新細明體, PMingLiU" w:eastAsia="標楷體" w:hAnsi="新細明體, PMingLiU" w:cs="新細明體, PMingLiU"/>
                <w:kern w:val="0"/>
                <w:szCs w:val="24"/>
              </w:rPr>
              <w:t>一</w:t>
            </w:r>
            <w:r>
              <w:rPr>
                <w:rFonts w:ascii="新細明體, PMingLiU" w:eastAsia="標楷體" w:hAnsi="新細明體, PMingLiU" w:cs="新細明體, PMingLiU"/>
                <w:kern w:val="0"/>
                <w:szCs w:val="24"/>
              </w:rPr>
              <w:t>)</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2E52331A"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27F2F95" w14:textId="77777777" w:rsidR="003278DA" w:rsidRDefault="00000000">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胡聖彥、康淵</w:t>
            </w:r>
          </w:p>
        </w:tc>
      </w:tr>
      <w:tr w:rsidR="003278DA" w14:paraId="75B9C6A5" w14:textId="77777777">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AC64C52" w14:textId="77777777" w:rsidR="003278DA" w:rsidRDefault="003278DA">
            <w:pPr>
              <w:rPr>
                <w:rFonts w:hint="eastAsia"/>
              </w:rPr>
            </w:pP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6AB596" w14:textId="77777777" w:rsidR="003278DA" w:rsidRDefault="00000000">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 Mechanical Design 1</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CC5267D"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26271EF" w14:textId="77777777" w:rsidR="003278DA" w:rsidRDefault="00000000">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助理教授、教授</w:t>
            </w:r>
          </w:p>
        </w:tc>
      </w:tr>
      <w:tr w:rsidR="003278DA" w14:paraId="270D0A4B"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306AC90"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216FDA2" w14:textId="77777777" w:rsidR="003278DA" w:rsidRDefault="00000000">
            <w:pPr>
              <w:pStyle w:val="Standard"/>
              <w:snapToGrid w:val="0"/>
              <w:spacing w:line="280" w:lineRule="exact"/>
            </w:pPr>
            <w:r>
              <w:rPr>
                <w:rFonts w:ascii="標楷體" w:eastAsia="標楷體" w:hAnsi="標楷體" w:cs="新細明體, PMingLiU"/>
                <w:szCs w:val="24"/>
              </w:rPr>
              <w:t>■</w:t>
            </w:r>
            <w:r>
              <w:rPr>
                <w:rFonts w:ascii="新細明體, PMingLiU" w:eastAsia="標楷體" w:hAnsi="新細明體, PMingLiU" w:cs="新細明體, PMingLiU"/>
                <w:szCs w:val="24"/>
              </w:rPr>
              <w:t>專業系所聘任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通識中心聘任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以上合聘</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p>
        </w:tc>
      </w:tr>
      <w:tr w:rsidR="003278DA" w14:paraId="1DFCFF50"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A509BF0" w14:textId="77777777" w:rsidR="003278DA" w:rsidRDefault="00000000">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14:paraId="417B24F9" w14:textId="77777777" w:rsidR="003278DA" w:rsidRDefault="00000000">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4635AE" w14:textId="77777777" w:rsidR="003278DA" w:rsidRDefault="00000000">
            <w:pPr>
              <w:pStyle w:val="Standard"/>
              <w:snapToGrid w:val="0"/>
              <w:spacing w:line="280" w:lineRule="exact"/>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機械工程學系</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1C862A28" w14:textId="77777777" w:rsidR="003278DA" w:rsidRDefault="00000000">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14:paraId="620C011E" w14:textId="77777777" w:rsidR="003278DA" w:rsidRDefault="00000000">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0193CBC5" w14:textId="77777777" w:rsidR="003278DA" w:rsidRDefault="00000000">
            <w:pPr>
              <w:pStyle w:val="Standard"/>
            </w:pPr>
            <w:r>
              <w:rPr>
                <w:rFonts w:ascii="標楷體" w:eastAsia="標楷體" w:hAnsi="標楷體" w:cs="新細明體, PMingLiU"/>
                <w:szCs w:val="24"/>
              </w:rPr>
              <w:t>■</w:t>
            </w:r>
            <w:r>
              <w:rPr>
                <w:rFonts w:ascii="新細明體, PMingLiU" w:eastAsia="標楷體" w:hAnsi="新細明體, PMingLiU" w:cs="新細明體, PMingLiU"/>
                <w:szCs w:val="24"/>
              </w:rPr>
              <w:t>一學期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半年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二學期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全年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u w:val="single"/>
              </w:rPr>
              <w:t xml:space="preserve">      </w:t>
            </w:r>
          </w:p>
        </w:tc>
      </w:tr>
      <w:tr w:rsidR="003278DA" w14:paraId="72311C33"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DDB6321" w14:textId="77777777" w:rsidR="003278DA" w:rsidRDefault="00000000">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769768" w14:textId="77777777" w:rsidR="003278DA" w:rsidRDefault="00000000">
            <w:pPr>
              <w:pStyle w:val="Standard"/>
              <w:ind w:firstLine="12"/>
            </w:pPr>
            <w:r>
              <w:rPr>
                <w:rFonts w:ascii="標楷體" w:eastAsia="標楷體" w:hAnsi="標楷體" w:cs="新細明體, PMingLiU"/>
                <w:szCs w:val="24"/>
              </w:rPr>
              <w:t>■</w:t>
            </w:r>
            <w:r>
              <w:rPr>
                <w:rFonts w:ascii="標楷體" w:eastAsia="標楷體" w:hAnsi="標楷體" w:cs="標楷體"/>
                <w:szCs w:val="24"/>
              </w:rPr>
              <w:t xml:space="preserve"> 必修 □ 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49B4BA2" w14:textId="77777777" w:rsidR="003278DA" w:rsidRDefault="00000000">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4B155B1" w14:textId="77777777" w:rsidR="003278DA" w:rsidRDefault="003278DA">
            <w:pPr>
              <w:pStyle w:val="Standard"/>
              <w:snapToGrid w:val="0"/>
              <w:rPr>
                <w:rFonts w:ascii="新細明體, PMingLiU" w:eastAsia="標楷體" w:hAnsi="新細明體, PMingLiU" w:cs="新細明體, PMingLiU" w:hint="eastAsia"/>
                <w:color w:val="000000"/>
                <w:szCs w:val="24"/>
              </w:rPr>
            </w:pPr>
          </w:p>
        </w:tc>
      </w:tr>
      <w:tr w:rsidR="003278DA" w14:paraId="3C3A25AC" w14:textId="77777777">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113B382"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14:paraId="4BDA5A1E" w14:textId="77777777" w:rsidR="003278DA" w:rsidRDefault="00000000">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12C00D37" w14:textId="77777777" w:rsidR="003278DA" w:rsidRDefault="00000000">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非同步遠距教學</w:t>
            </w:r>
            <w:r>
              <w:rPr>
                <w:rFonts w:ascii="新細明體, PMingLiU" w:hAnsi="新細明體, PMingLiU" w:cs="新細明體, PMingLiU"/>
                <w:color w:val="000000"/>
                <w:szCs w:val="24"/>
              </w:rPr>
              <w:t xml:space="preserve">         </w:t>
            </w:r>
          </w:p>
          <w:p w14:paraId="6CC7A210" w14:textId="77777777" w:rsidR="003278DA" w:rsidRDefault="00000000">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r>
              <w:rPr>
                <w:rFonts w:ascii="新細明體, PMingLiU" w:eastAsia="標楷體" w:hAnsi="新細明體, PMingLiU" w:cs="新細明體, PMingLiU"/>
                <w:b/>
                <w:color w:val="FF0000"/>
                <w:szCs w:val="24"/>
                <w:shd w:val="clear" w:color="auto" w:fill="FFFF00"/>
              </w:rPr>
              <w:t>且影音時數至少應達授課時數</w:t>
            </w:r>
            <w:r>
              <w:rPr>
                <w:rFonts w:ascii="新細明體, PMingLiU" w:eastAsia="標楷體" w:hAnsi="新細明體, PMingLiU" w:cs="新細明體, PMingLiU"/>
                <w:b/>
                <w:color w:val="FF0000"/>
                <w:szCs w:val="24"/>
                <w:shd w:val="clear" w:color="auto" w:fill="FFFF00"/>
              </w:rPr>
              <w:t>(18</w:t>
            </w:r>
            <w:r>
              <w:rPr>
                <w:rFonts w:ascii="新細明體, PMingLiU" w:eastAsia="標楷體" w:hAnsi="新細明體, PMingLiU" w:cs="新細明體, PMingLiU"/>
                <w:b/>
                <w:color w:val="FF0000"/>
                <w:szCs w:val="24"/>
                <w:shd w:val="clear" w:color="auto" w:fill="FFFF00"/>
              </w:rPr>
              <w:t>週</w:t>
            </w:r>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14:paraId="41A12AA9" w14:textId="77777777" w:rsidR="003278DA" w:rsidRDefault="00000000">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14:paraId="5EEE7022" w14:textId="77777777" w:rsidR="003278DA" w:rsidRDefault="00000000">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r>
              <w:rPr>
                <w:rFonts w:ascii="新細明體, PMingLiU" w:eastAsia="標楷體" w:hAnsi="新細明體, PMingLiU" w:cs="新細明體, PMingLiU"/>
                <w:b/>
                <w:color w:val="0000FF"/>
                <w:szCs w:val="24"/>
              </w:rPr>
              <w:t>填列本門課程之收播學校與系所或校區：</w:t>
            </w:r>
          </w:p>
          <w:p w14:paraId="7C50A0EA" w14:textId="77777777" w:rsidR="003278DA" w:rsidRDefault="00000000">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xml:space="preserve">: </w:t>
            </w:r>
            <w:r>
              <w:rPr>
                <w:rFonts w:ascii="新細明體, PMingLiU" w:eastAsia="標楷體" w:hAnsi="新細明體, PMingLiU" w:cs="新細明體, PMingLiU"/>
                <w:b/>
                <w:color w:val="0000FF"/>
                <w:szCs w:val="24"/>
              </w:rPr>
              <w:t>中原大學</w:t>
            </w:r>
            <w:r>
              <w:rPr>
                <w:rFonts w:ascii="新細明體, PMingLiU" w:eastAsia="標楷體" w:hAnsi="新細明體, PMingLiU" w:cs="新細明體, PMingLiU"/>
                <w:b/>
                <w:color w:val="0000FF"/>
                <w:szCs w:val="24"/>
              </w:rPr>
              <w:t xml:space="preserve">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r>
              <w:rPr>
                <w:rFonts w:ascii="新細明體, PMingLiU" w:eastAsia="標楷體" w:hAnsi="新細明體, PMingLiU" w:cs="新細明體, PMingLiU"/>
                <w:b/>
                <w:color w:val="0000FF"/>
                <w:szCs w:val="24"/>
              </w:rPr>
              <w:t>：機械工程學系</w:t>
            </w:r>
          </w:p>
        </w:tc>
      </w:tr>
      <w:tr w:rsidR="003278DA" w14:paraId="67ED804D" w14:textId="77777777">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DC40A48" w14:textId="77777777" w:rsidR="003278DA" w:rsidRDefault="00000000">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CB3AFC" w14:textId="77777777" w:rsidR="003278DA" w:rsidRDefault="00000000">
            <w:pPr>
              <w:pStyle w:val="Standard"/>
              <w:snapToGrid w:val="0"/>
              <w:spacing w:line="280" w:lineRule="exact"/>
            </w:pPr>
            <w:r>
              <w:rPr>
                <w:rFonts w:ascii="標楷體" w:eastAsia="標楷體" w:hAnsi="標楷體" w:cs="新細明體, PMingLiU"/>
                <w:szCs w:val="24"/>
              </w:rPr>
              <w:t>■</w:t>
            </w:r>
            <w:r>
              <w:rPr>
                <w:rFonts w:ascii="新細明體, PMingLiU" w:eastAsia="標楷體" w:hAnsi="新細明體, PMingLiU" w:cs="新細明體, PMingLiU"/>
                <w:szCs w:val="24"/>
              </w:rPr>
              <w:t>學士班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學士後第二專長</w:t>
            </w:r>
          </w:p>
          <w:p w14:paraId="03A28C53" w14:textId="77777777" w:rsidR="003278DA" w:rsidRDefault="00000000">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14:paraId="0DEDF72A" w14:textId="77777777" w:rsidR="003278DA" w:rsidRDefault="00000000">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14:paraId="7D2FC3C5" w14:textId="77777777" w:rsidR="003278DA" w:rsidRDefault="00000000">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14:paraId="2C7661A4" w14:textId="77777777" w:rsidR="003278DA" w:rsidRDefault="00000000">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548C9AD5" w14:textId="77777777" w:rsidR="003278DA" w:rsidRDefault="00000000">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部別</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11CB772" w14:textId="77777777" w:rsidR="003278DA" w:rsidRDefault="00000000">
            <w:pPr>
              <w:pStyle w:val="Standard"/>
              <w:widowControl/>
            </w:pPr>
            <w:r>
              <w:rPr>
                <w:rFonts w:ascii="標楷體" w:eastAsia="標楷體" w:hAnsi="標楷體" w:cs="新細明體, PMingLiU"/>
                <w:szCs w:val="24"/>
              </w:rPr>
              <w:t>■</w:t>
            </w:r>
            <w:r>
              <w:rPr>
                <w:rFonts w:ascii="新細明體, PMingLiU" w:eastAsia="標楷體" w:hAnsi="新細明體, PMingLiU" w:cs="新細明體, PMingLiU"/>
                <w:szCs w:val="24"/>
              </w:rPr>
              <w:t>日間部</w:t>
            </w:r>
          </w:p>
          <w:p w14:paraId="35B650A1" w14:textId="77777777" w:rsidR="003278DA" w:rsidRDefault="00000000">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14:paraId="2E3FFD84" w14:textId="77777777" w:rsidR="003278DA" w:rsidRDefault="00000000">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3278DA" w14:paraId="4F3FF009" w14:textId="77777777">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D5FF187"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部校定</w:t>
            </w:r>
          </w:p>
          <w:p w14:paraId="04C17C92"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0DD4AD2E" w14:textId="77777777" w:rsidR="003278DA" w:rsidRDefault="00000000">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14:paraId="330483C5"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校定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院定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所定</w:t>
            </w:r>
            <w:r>
              <w:rPr>
                <w:rFonts w:ascii="新細明體, PMingLiU" w:hAnsi="新細明體, PMingLiU" w:cs="新細明體, PMingLiU"/>
                <w:szCs w:val="24"/>
              </w:rPr>
              <w:t xml:space="preserve">  </w:t>
            </w:r>
            <w:r>
              <w:rPr>
                <w:rFonts w:ascii="標楷體" w:eastAsia="標楷體" w:hAnsi="標楷體" w:cs="新細明體, PMingLiU"/>
                <w:szCs w:val="24"/>
              </w:rPr>
              <w:t>■</w:t>
            </w:r>
            <w:r>
              <w:rPr>
                <w:rFonts w:ascii="新細明體, PMingLiU" w:eastAsia="標楷體" w:hAnsi="新細明體, PMingLiU" w:cs="新細明體, PMingLiU"/>
                <w:szCs w:val="24"/>
              </w:rPr>
              <w:t>系定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rPr>
              <w:t xml:space="preserve">  </w:t>
            </w:r>
          </w:p>
        </w:tc>
      </w:tr>
      <w:tr w:rsidR="003278DA" w14:paraId="3A4FAA66" w14:textId="77777777">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2E87072" w14:textId="77777777" w:rsidR="003278DA" w:rsidRDefault="00000000">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0A2EA3D4" w14:textId="77777777" w:rsidR="003278DA" w:rsidRDefault="00000000">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校定科目</w:t>
            </w:r>
            <w:r>
              <w:rPr>
                <w:rFonts w:ascii="新細明體, PMingLiU" w:hAnsi="新細明體, PMingLiU" w:cs="新細明體, PMingLiU"/>
                <w:color w:val="000000"/>
                <w:szCs w:val="24"/>
              </w:rPr>
              <w:t xml:space="preserve"> </w:t>
            </w:r>
            <w:r>
              <w:rPr>
                <w:rFonts w:ascii="標楷體" w:eastAsia="標楷體" w:hAnsi="標楷體" w:cs="新細明體, PMingLiU"/>
                <w:szCs w:val="24"/>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3278DA" w14:paraId="676ACB45" w14:textId="77777777">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D48CF3E"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0D433C3E"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r>
              <w:rPr>
                <w:rFonts w:ascii="標楷體" w:eastAsia="標楷體" w:hAnsi="標楷體" w:cs="新細明體, PMingLiU"/>
                <w:szCs w:val="24"/>
              </w:rPr>
              <w:t>■</w:t>
            </w:r>
            <w:r>
              <w:rPr>
                <w:rFonts w:ascii="新細明體, PMingLiU" w:eastAsia="標楷體" w:hAnsi="新細明體, PMingLiU" w:cs="新細明體, PMingLiU"/>
                <w:szCs w:val="24"/>
              </w:rPr>
              <w:t>否</w:t>
            </w:r>
          </w:p>
        </w:tc>
      </w:tr>
      <w:tr w:rsidR="003278DA" w14:paraId="27C184E0" w14:textId="77777777">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705117A"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14:paraId="687C2F03"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14:paraId="7F24810B"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67785F9" w14:textId="77777777" w:rsidR="003278DA" w:rsidRDefault="00000000">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14:paraId="225B686B" w14:textId="77777777" w:rsidR="003278DA" w:rsidRDefault="00000000">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國內收播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3278DA" w14:paraId="51018B9D" w14:textId="77777777">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6133B19" w14:textId="77777777" w:rsidR="003278DA" w:rsidRDefault="00000000">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CF10FC" w14:textId="77777777" w:rsidR="003278DA" w:rsidRDefault="00000000">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Pr>
                <w:rFonts w:ascii="新細明體, PMingLiU" w:eastAsia="標楷體" w:hAnsi="新細明體, PMingLiU" w:cs="新細明體, PMingLiU"/>
                <w:bCs/>
                <w:color w:val="000000"/>
                <w:kern w:val="0"/>
                <w:szCs w:val="24"/>
              </w:rPr>
              <w:t>機械三</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24CB8AC3"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預計總修課人數</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F970E04" w14:textId="53C35D05" w:rsidR="003278DA" w:rsidRDefault="00784E1B">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60</w:t>
            </w:r>
          </w:p>
        </w:tc>
      </w:tr>
      <w:tr w:rsidR="003278DA" w14:paraId="052CA65F" w14:textId="77777777">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355EFE9"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課程線上平台</w:t>
            </w:r>
          </w:p>
          <w:p w14:paraId="52E18A5F" w14:textId="77777777" w:rsidR="003278DA" w:rsidRDefault="00000000">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遠距必填</w:t>
            </w:r>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186385A" w14:textId="77777777" w:rsidR="003278DA" w:rsidRDefault="00000000">
            <w:pPr>
              <w:pStyle w:val="Standard"/>
              <w:snapToGrid w:val="0"/>
              <w:spacing w:line="280" w:lineRule="exact"/>
              <w:jc w:val="both"/>
            </w:pPr>
            <w:r>
              <w:rPr>
                <w:rFonts w:ascii="新細明體, PMingLiU" w:eastAsia="標楷體" w:hAnsi="新細明體, PMingLiU" w:cs="新細明體, PMingLiU"/>
                <w:szCs w:val="24"/>
              </w:rPr>
              <w:t>本校</w:t>
            </w:r>
            <w:r>
              <w:rPr>
                <w:rFonts w:ascii="新細明體, PMingLiU" w:eastAsia="標楷體" w:hAnsi="新細明體, PMingLiU" w:cs="新細明體, PMingLiU"/>
                <w:szCs w:val="24"/>
              </w:rPr>
              <w:t>i-learning 2.0 (</w:t>
            </w:r>
            <w:hyperlink r:id="rId7" w:history="1">
              <w:r w:rsidR="003278DA">
                <w:rPr>
                  <w:rStyle w:val="a9"/>
                  <w:rFonts w:ascii="新細明體, PMingLiU" w:eastAsia="標楷體" w:hAnsi="新細明體, PMingLiU" w:cs="新細明體, PMingLiU"/>
                  <w:szCs w:val="24"/>
                </w:rPr>
                <w:t>https://ilearning.cycu.edu.tw/</w:t>
              </w:r>
            </w:hyperlink>
            <w:r>
              <w:rPr>
                <w:rFonts w:ascii="新細明體, PMingLiU" w:eastAsia="標楷體" w:hAnsi="新細明體, PMingLiU" w:cs="新細明體, PMingLiU"/>
                <w:szCs w:val="24"/>
              </w:rPr>
              <w:t>)</w:t>
            </w:r>
          </w:p>
        </w:tc>
      </w:tr>
      <w:tr w:rsidR="003278DA" w14:paraId="37D4862D" w14:textId="77777777">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CF73D8A" w14:textId="77777777" w:rsidR="003278DA" w:rsidRDefault="00000000">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400A55B" w14:textId="77777777" w:rsidR="003278DA" w:rsidRDefault="003278DA">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3278DA" w14:paraId="35C1B283" w14:textId="77777777">
        <w:trPr>
          <w:cantSplit/>
          <w:trHeight w:val="720"/>
          <w:jc w:val="center"/>
        </w:trPr>
        <w:tc>
          <w:tcPr>
            <w:tcW w:w="1800" w:type="dxa"/>
            <w:gridSpan w:val="2"/>
            <w:tcBorders>
              <w:top w:val="single" w:sz="4" w:space="0" w:color="000000"/>
              <w:left w:val="single" w:sz="18" w:space="0" w:color="000000"/>
              <w:bottom w:val="single" w:sz="18" w:space="0" w:color="000000"/>
            </w:tcBorders>
            <w:tcMar>
              <w:top w:w="0" w:type="dxa"/>
              <w:left w:w="28" w:type="dxa"/>
              <w:bottom w:w="0" w:type="dxa"/>
              <w:right w:w="28" w:type="dxa"/>
            </w:tcMar>
            <w:vAlign w:val="center"/>
          </w:tcPr>
          <w:p w14:paraId="6F2C3853" w14:textId="77777777" w:rsidR="003278DA" w:rsidRDefault="00000000">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lastRenderedPageBreak/>
              <w:t>備註</w:t>
            </w:r>
          </w:p>
        </w:tc>
        <w:tc>
          <w:tcPr>
            <w:tcW w:w="8811" w:type="dxa"/>
            <w:gridSpan w:val="11"/>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tcPr>
          <w:p w14:paraId="0E79A90A" w14:textId="77777777" w:rsidR="003278DA" w:rsidRDefault="00000000">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14:paraId="6C5692DC" w14:textId="77777777" w:rsidR="003278DA" w:rsidRDefault="00000000">
            <w:pPr>
              <w:pStyle w:val="Standard"/>
              <w:snapToGrid w:val="0"/>
              <w:spacing w:line="280" w:lineRule="exact"/>
            </w:pPr>
            <w:r>
              <w:rPr>
                <w:rFonts w:ascii="標楷體" w:eastAsia="標楷體" w:hAnsi="標楷體" w:cs="新細明體, PMingLiU"/>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非</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14:paraId="504D04E5" w14:textId="77777777" w:rsidR="003278DA" w:rsidRDefault="00000000">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b/>
                <w:szCs w:val="24"/>
              </w:rPr>
              <w:t>若此項目不確定，請洽學校分機</w:t>
            </w:r>
            <w:r>
              <w:rPr>
                <w:rFonts w:ascii="新細明體, PMingLiU" w:eastAsia="標楷體" w:hAnsi="新細明體, PMingLiU" w:cs="新細明體, PMingLiU"/>
                <w:b/>
                <w:szCs w:val="24"/>
              </w:rPr>
              <w:t>2711</w:t>
            </w:r>
            <w:r>
              <w:rPr>
                <w:rFonts w:ascii="新細明體, PMingLiU" w:eastAsia="標楷體" w:hAnsi="新細明體, PMingLiU" w:cs="新細明體, PMingLiU"/>
                <w:b/>
                <w:szCs w:val="24"/>
              </w:rPr>
              <w:t>承辦人員。</w:t>
            </w:r>
          </w:p>
        </w:tc>
      </w:tr>
      <w:tr w:rsidR="003278DA" w14:paraId="4BBEDDBA" w14:textId="77777777">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62EA25F4" w14:textId="77777777" w:rsidR="003278DA" w:rsidRDefault="00000000">
            <w:pPr>
              <w:pStyle w:val="Standard"/>
              <w:spacing w:line="280" w:lineRule="exact"/>
            </w:pPr>
            <w:r>
              <w:rPr>
                <w:rFonts w:ascii="新細明體, PMingLiU" w:eastAsia="標楷體" w:hAnsi="新細明體, PMingLiU" w:cs="新細明體, PMingLiU"/>
                <w:b/>
                <w:spacing w:val="26"/>
                <w:szCs w:val="24"/>
              </w:rPr>
              <w:t>貳、課程教學計畫</w:t>
            </w:r>
            <w:r>
              <w:rPr>
                <w:rFonts w:ascii="新細明體, PMingLiU" w:eastAsia="標楷體" w:hAnsi="新細明體, PMingLiU" w:cs="新細明體, PMingLiU"/>
                <w:b/>
                <w:spacing w:val="26"/>
                <w:szCs w:val="24"/>
              </w:rPr>
              <w:t>:</w:t>
            </w:r>
          </w:p>
        </w:tc>
      </w:tr>
      <w:tr w:rsidR="003278DA" w14:paraId="49EAF95D" w14:textId="77777777">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744D0B79" w14:textId="77777777" w:rsidR="003278DA" w:rsidRDefault="00000000">
            <w:pPr>
              <w:pStyle w:val="Standard"/>
              <w:spacing w:line="280" w:lineRule="exact"/>
              <w:jc w:val="both"/>
            </w:pPr>
            <w:r>
              <w:rPr>
                <w:rFonts w:ascii="新細明體, PMingLiU" w:eastAsia="標楷體" w:hAnsi="新細明體, PMingLiU" w:cs="新細明體, PMingLiU"/>
                <w:b/>
                <w:bCs/>
                <w:szCs w:val="24"/>
              </w:rPr>
              <w:t>一、課程教學目標</w:t>
            </w:r>
            <w:r>
              <w:rPr>
                <w:rFonts w:ascii="新細明體, PMingLiU" w:eastAsia="標楷體" w:hAnsi="新細明體, PMingLiU" w:cs="新細明體, PMingLiU"/>
                <w:b/>
                <w:bCs/>
                <w:szCs w:val="24"/>
              </w:rPr>
              <w:t>:</w:t>
            </w:r>
          </w:p>
          <w:p w14:paraId="4ABE182B" w14:textId="77777777" w:rsidR="003278DA" w:rsidRDefault="00000000">
            <w:pPr>
              <w:pStyle w:val="Standard"/>
              <w:spacing w:line="280" w:lineRule="exact"/>
              <w:jc w:val="both"/>
            </w:pPr>
            <w:r>
              <w:rPr>
                <w:rFonts w:ascii="標楷體" w:eastAsia="標楷體" w:hAnsi="標楷體" w:cs="新細明體, PMingLiU"/>
                <w:bCs/>
                <w:color w:val="000000"/>
                <w:spacing w:val="26"/>
                <w:szCs w:val="24"/>
              </w:rPr>
              <w:t xml:space="preserve">    機械設計基礎學科包括機械系統之設計製圖(機械製圖及機械設計製圖)、機構之運動及動力(機構學)、機械元件之設計分析計算(機械設計)，另外則為航空器航海器流體機械熱工機械光機電設備等進階跨領域學科，這些跨領域學科的基礎學科流體力學空氣動力學光學量子力學等就構成了所謂機械系統工程師的核心學科。而這三個機械設計的基礎學科就是機械工程師最基本的專業能力課程了。</w:t>
            </w:r>
          </w:p>
          <w:p w14:paraId="79B20328" w14:textId="77777777" w:rsidR="003278DA" w:rsidRDefault="00000000">
            <w:pPr>
              <w:pStyle w:val="Standard"/>
              <w:spacing w:line="280" w:lineRule="exact"/>
              <w:jc w:val="both"/>
              <w:rPr>
                <w:rFonts w:ascii="標楷體" w:eastAsia="標楷體" w:hAnsi="標楷體" w:cs="新細明體, PMingLiU"/>
                <w:bCs/>
                <w:color w:val="000000"/>
                <w:spacing w:val="26"/>
                <w:szCs w:val="24"/>
              </w:rPr>
            </w:pPr>
            <w:r>
              <w:rPr>
                <w:rFonts w:ascii="標楷體" w:eastAsia="標楷體" w:hAnsi="標楷體" w:cs="新細明體, PMingLiU"/>
                <w:bCs/>
                <w:color w:val="000000"/>
                <w:spacing w:val="26"/>
                <w:szCs w:val="24"/>
              </w:rPr>
              <w:t xml:space="preserve">    主要是在課堂的演講授課，以及學生在課堂之外的習題演算；元件認識、有學理闡述、原理講解、強度設計分析方法說明、元件規格及其國際標準介紹，以及例題演練；所學內容學理及實務並重，所學項目為實務界所需之艱難及必要技術，但學生眾多，缺乏實習、實作及實驗的輔助，學生又不能複習及預習，所受到基礎數學及物理訓練，嚴重不足，只有少數用功及有基礎的學生能夠學會之外，大部分的學生是需要小班教學，以及有實物輔助教學、及運用實驗及實作的作中學模式，才能期望學生的學習成效。</w:t>
            </w:r>
          </w:p>
          <w:p w14:paraId="3D30180F" w14:textId="77777777" w:rsidR="003278DA" w:rsidRDefault="00000000">
            <w:pPr>
              <w:pStyle w:val="Standard"/>
              <w:spacing w:line="280" w:lineRule="exact"/>
              <w:jc w:val="both"/>
            </w:pPr>
            <w:r>
              <w:rPr>
                <w:rFonts w:ascii="標楷體" w:eastAsia="標楷體" w:hAnsi="標楷體" w:cs="新細明體, PMingLiU"/>
                <w:bCs/>
                <w:color w:val="000000"/>
                <w:spacing w:val="26"/>
                <w:szCs w:val="24"/>
              </w:rPr>
              <w:t xml:space="preserve">    課堂演講授課本學期內容包括靜態強度設計分析、動態強度設計分析、螺旋工作原理及其設計分析、鉚接及螺絲元件認識及其固定的設計分析、焊接固定的設計分析、滾動軸承元件認識及其設計分析、滑動軸承元件認識及其設計分析、以及油膜潤滑，課堂教室演講部分對應3.1運用數學、科學及工程知識的能力，以及3.4設計工程系統、元件或製程之能力；在課堂之外的習題演算部分對應3.3執行工程實務所需技術、技巧及使用工具之能力；這兩種形式的綜合學習成效則對應了3.2設計與執行實驗，以及分析與解釋數據的能力，以及3.6發掘、分析及處理問題的能力。</w:t>
            </w:r>
          </w:p>
          <w:p w14:paraId="1F2EB5EA" w14:textId="77777777" w:rsidR="003278DA" w:rsidRDefault="003278DA">
            <w:pPr>
              <w:pStyle w:val="Standard"/>
              <w:spacing w:line="280" w:lineRule="exact"/>
              <w:jc w:val="both"/>
              <w:rPr>
                <w:rFonts w:ascii="新細明體, PMingLiU" w:eastAsia="標楷體" w:hAnsi="新細明體, PMingLiU" w:cs="新細明體, PMingLiU" w:hint="eastAsia"/>
                <w:b/>
                <w:bCs/>
                <w:szCs w:val="24"/>
              </w:rPr>
            </w:pPr>
          </w:p>
          <w:p w14:paraId="50C252B0" w14:textId="77777777" w:rsidR="00281B4D" w:rsidRDefault="00281B4D">
            <w:pPr>
              <w:pStyle w:val="Standard"/>
              <w:spacing w:line="280" w:lineRule="exact"/>
              <w:jc w:val="both"/>
              <w:rPr>
                <w:rFonts w:ascii="新細明體, PMingLiU" w:eastAsia="標楷體" w:hAnsi="新細明體, PMingLiU" w:cs="新細明體, PMingLiU" w:hint="eastAsia"/>
                <w:b/>
                <w:bCs/>
                <w:szCs w:val="24"/>
              </w:rPr>
            </w:pPr>
          </w:p>
        </w:tc>
      </w:tr>
      <w:tr w:rsidR="003278DA" w14:paraId="47BE36BC" w14:textId="77777777">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566D43F1" w14:textId="77777777" w:rsidR="003278DA" w:rsidRDefault="00000000">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tcMar>
              <w:top w:w="0" w:type="dxa"/>
              <w:left w:w="28" w:type="dxa"/>
              <w:bottom w:w="0" w:type="dxa"/>
              <w:right w:w="28" w:type="dxa"/>
            </w:tcMar>
            <w:vAlign w:val="center"/>
          </w:tcPr>
          <w:p w14:paraId="38D4689E" w14:textId="05299683" w:rsidR="003278DA" w:rsidRDefault="00690E66">
            <w:pPr>
              <w:pStyle w:val="Standard"/>
              <w:snapToGrid w:val="0"/>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工程學系修過大學微積分工程力學及材料力學之學生</w:t>
            </w:r>
          </w:p>
        </w:tc>
      </w:tr>
      <w:tr w:rsidR="003278DA" w14:paraId="1E528A86" w14:textId="77777777">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6746B31F" w14:textId="77777777" w:rsidR="003278DA" w:rsidRDefault="00000000">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(註：</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3278DA" w14:paraId="51B40E00" w14:textId="77777777">
        <w:trPr>
          <w:cantSplit/>
          <w:trHeight w:val="379"/>
          <w:jc w:val="center"/>
        </w:trPr>
        <w:tc>
          <w:tcPr>
            <w:tcW w:w="608" w:type="dxa"/>
            <w:vMerge w:val="restart"/>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5F98FD7C"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週次</w:t>
            </w:r>
          </w:p>
        </w:tc>
        <w:tc>
          <w:tcPr>
            <w:tcW w:w="1444"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4170D7"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92A612" w14:textId="77777777" w:rsidR="003278DA" w:rsidRDefault="00000000">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tcMar>
              <w:top w:w="0" w:type="dxa"/>
              <w:left w:w="28" w:type="dxa"/>
              <w:bottom w:w="0" w:type="dxa"/>
              <w:right w:w="28" w:type="dxa"/>
            </w:tcMar>
            <w:vAlign w:val="center"/>
          </w:tcPr>
          <w:p w14:paraId="5CF9E2B2" w14:textId="77777777" w:rsidR="003278DA" w:rsidRDefault="00000000">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797A9E8D" w14:textId="77777777" w:rsidR="003278DA" w:rsidRDefault="00000000">
            <w:pPr>
              <w:pStyle w:val="Standard"/>
              <w:spacing w:line="280" w:lineRule="exact"/>
              <w:jc w:val="center"/>
            </w:pPr>
            <w:r>
              <w:rPr>
                <w:rFonts w:ascii="新細明體, PMingLiU" w:eastAsia="標楷體" w:hAnsi="新細明體, PMingLiU" w:cs="新細明體, PMingLiU"/>
                <w:color w:val="FF0000"/>
                <w:sz w:val="22"/>
                <w:szCs w:val="20"/>
              </w:rPr>
              <w:t>(</w:t>
            </w:r>
            <w:r>
              <w:rPr>
                <w:rFonts w:ascii="新細明體, PMingLiU" w:eastAsia="標楷體" w:hAnsi="新細明體, PMingLiU" w:cs="新細明體, PMingLiU"/>
                <w:color w:val="FF0000"/>
                <w:sz w:val="22"/>
                <w:szCs w:val="20"/>
              </w:rPr>
              <w:t>請對應方式填寫</w:t>
            </w:r>
            <w:r>
              <w:rPr>
                <w:rFonts w:ascii="新細明體, PMingLiU" w:eastAsia="標楷體" w:hAnsi="新細明體, PMingLiU" w:cs="新細明體, PMingLiU"/>
                <w:b/>
                <w:color w:val="FF0000"/>
                <w:szCs w:val="20"/>
                <w:shd w:val="clear" w:color="auto" w:fill="00FF00"/>
              </w:rPr>
              <w:t>時數</w:t>
            </w:r>
            <w:r>
              <w:rPr>
                <w:rFonts w:ascii="新細明體, PMingLiU" w:eastAsia="標楷體" w:hAnsi="新細明體, PMingLiU" w:cs="新細明體, PMingLiU"/>
                <w:color w:val="FF0000"/>
                <w:sz w:val="22"/>
                <w:szCs w:val="20"/>
              </w:rPr>
              <w:t>)</w:t>
            </w:r>
          </w:p>
        </w:tc>
        <w:tc>
          <w:tcPr>
            <w:tcW w:w="1084" w:type="dxa"/>
            <w:tcBorders>
              <w:top w:val="single" w:sz="18" w:space="0" w:color="000000"/>
              <w:left w:val="double" w:sz="4" w:space="0" w:color="000000"/>
              <w:bottom w:val="single" w:sz="18" w:space="0" w:color="000000"/>
              <w:right w:val="single" w:sz="18" w:space="0" w:color="000000"/>
            </w:tcBorders>
            <w:tcMar>
              <w:top w:w="0" w:type="dxa"/>
              <w:left w:w="28" w:type="dxa"/>
              <w:bottom w:w="0" w:type="dxa"/>
              <w:right w:w="28" w:type="dxa"/>
            </w:tcMar>
            <w:vAlign w:val="center"/>
          </w:tcPr>
          <w:p w14:paraId="702189E5" w14:textId="77777777" w:rsidR="003278DA" w:rsidRDefault="00000000">
            <w:pPr>
              <w:pStyle w:val="Standard"/>
              <w:spacing w:line="280" w:lineRule="exact"/>
              <w:jc w:val="center"/>
            </w:pPr>
            <w:r>
              <w:rPr>
                <w:rFonts w:ascii="新細明體, PMingLiU" w:eastAsia="標楷體" w:hAnsi="新細明體, PMingLiU" w:cs="新細明體, PMingLiU"/>
                <w:bCs/>
                <w:sz w:val="20"/>
                <w:szCs w:val="24"/>
              </w:rPr>
              <w:t>備註</w:t>
            </w:r>
          </w:p>
        </w:tc>
      </w:tr>
      <w:tr w:rsidR="003278DA" w14:paraId="2458479C" w14:textId="77777777">
        <w:trPr>
          <w:cantSplit/>
          <w:trHeight w:val="243"/>
          <w:jc w:val="center"/>
        </w:trPr>
        <w:tc>
          <w:tcPr>
            <w:tcW w:w="608"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038A00ED" w14:textId="77777777" w:rsidR="003278DA" w:rsidRDefault="003278DA">
            <w:pPr>
              <w:rPr>
                <w:rFonts w:hint="eastAsia"/>
              </w:rPr>
            </w:pPr>
          </w:p>
        </w:tc>
        <w:tc>
          <w:tcPr>
            <w:tcW w:w="1444"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523F4A" w14:textId="77777777" w:rsidR="003278DA" w:rsidRDefault="003278DA">
            <w:pPr>
              <w:rPr>
                <w:rFonts w:hint="eastAsia"/>
              </w:rPr>
            </w:pPr>
          </w:p>
        </w:tc>
        <w:tc>
          <w:tcPr>
            <w:tcW w:w="4809" w:type="dxa"/>
            <w:gridSpan w:val="5"/>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52E6C1" w14:textId="77777777" w:rsidR="003278DA" w:rsidRDefault="003278DA">
            <w:pPr>
              <w:rPr>
                <w:rFonts w:hint="eastAsia"/>
              </w:rPr>
            </w:pPr>
          </w:p>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5D6B5107"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79106E5A" w14:textId="77777777" w:rsidR="003278DA" w:rsidRDefault="00000000">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tcMar>
              <w:top w:w="0" w:type="dxa"/>
              <w:left w:w="28" w:type="dxa"/>
              <w:bottom w:w="0" w:type="dxa"/>
              <w:right w:w="28" w:type="dxa"/>
            </w:tcMar>
            <w:vAlign w:val="center"/>
          </w:tcPr>
          <w:p w14:paraId="066679B8" w14:textId="77777777" w:rsidR="003278DA" w:rsidRDefault="00000000">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放假、考試週停課、畢業班停課、或填補課日期</w:t>
            </w:r>
          </w:p>
        </w:tc>
      </w:tr>
      <w:tr w:rsidR="003278DA" w14:paraId="2028DE21" w14:textId="77777777">
        <w:trPr>
          <w:cantSplit/>
          <w:trHeight w:val="483"/>
          <w:jc w:val="center"/>
        </w:trPr>
        <w:tc>
          <w:tcPr>
            <w:tcW w:w="608"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69BFF540" w14:textId="77777777" w:rsidR="003278DA" w:rsidRDefault="003278DA">
            <w:pPr>
              <w:rPr>
                <w:rFonts w:hint="eastAsia"/>
              </w:rPr>
            </w:pPr>
          </w:p>
        </w:tc>
        <w:tc>
          <w:tcPr>
            <w:tcW w:w="1444"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308054" w14:textId="77777777" w:rsidR="003278DA" w:rsidRDefault="003278DA">
            <w:pPr>
              <w:rPr>
                <w:rFonts w:hint="eastAsia"/>
              </w:rPr>
            </w:pPr>
          </w:p>
        </w:tc>
        <w:tc>
          <w:tcPr>
            <w:tcW w:w="4809" w:type="dxa"/>
            <w:gridSpan w:val="5"/>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B7D574" w14:textId="77777777" w:rsidR="003278DA" w:rsidRDefault="003278DA">
            <w:pPr>
              <w:rPr>
                <w:rFonts w:hint="eastAsia"/>
              </w:rPr>
            </w:pPr>
          </w:p>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4E84B328" w14:textId="77777777" w:rsidR="003278DA" w:rsidRDefault="00000000">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53D9F493" w14:textId="77777777" w:rsidR="003278DA" w:rsidRDefault="00000000">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6B888C95" w14:textId="77777777" w:rsidR="003278DA" w:rsidRDefault="00000000">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70862085" w14:textId="77777777" w:rsidR="003278DA" w:rsidRDefault="00000000">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649A79D6" w14:textId="77777777" w:rsidR="003278DA" w:rsidRDefault="00000000">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1540F9C3" w14:textId="77777777" w:rsidR="003278DA" w:rsidRDefault="00000000">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tcMar>
              <w:top w:w="0" w:type="dxa"/>
              <w:left w:w="28" w:type="dxa"/>
              <w:bottom w:w="0" w:type="dxa"/>
              <w:right w:w="28" w:type="dxa"/>
            </w:tcMar>
            <w:vAlign w:val="center"/>
          </w:tcPr>
          <w:p w14:paraId="78BA5A58" w14:textId="77777777" w:rsidR="003278DA" w:rsidRDefault="003278DA">
            <w:pPr>
              <w:rPr>
                <w:rFonts w:hint="eastAsia"/>
              </w:rPr>
            </w:pPr>
          </w:p>
        </w:tc>
      </w:tr>
      <w:tr w:rsidR="003278DA" w14:paraId="588EF87D"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5ADE4AB7"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E52733"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w:t>
            </w:r>
          </w:p>
          <w:p w14:paraId="1E1D8567"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1:00-3:00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938AE5" w14:textId="77777777" w:rsidR="003278DA" w:rsidRDefault="00000000">
            <w:pPr>
              <w:pStyle w:val="Standard"/>
              <w:snapToGrid w:val="0"/>
              <w:spacing w:line="280" w:lineRule="exact"/>
            </w:pPr>
            <w:r>
              <w:rPr>
                <w:rFonts w:ascii="新細明體, PMingLiU" w:eastAsia="標楷體" w:hAnsi="新細明體, PMingLiU" w:cs="新細明體, PMingLiU"/>
                <w:bCs/>
                <w:szCs w:val="24"/>
              </w:rPr>
              <w:t>防止靜負荷損害的設計分析：主應力</w:t>
            </w:r>
            <w:r>
              <w:rPr>
                <w:rFonts w:ascii="新細明體" w:eastAsia="新細明體" w:hAnsi="新細明體" w:cs="新細明體, PMingLiU"/>
                <w:bCs/>
                <w:szCs w:val="24"/>
              </w:rPr>
              <w:t>、</w:t>
            </w:r>
            <w:r>
              <w:rPr>
                <w:rFonts w:ascii="新細明體, PMingLiU" w:eastAsia="標楷體" w:hAnsi="新細明體, PMingLiU" w:cs="新細明體, PMingLiU"/>
                <w:bCs/>
                <w:szCs w:val="24"/>
              </w:rPr>
              <w:t>應力強度</w:t>
            </w:r>
          </w:p>
        </w:tc>
        <w:tc>
          <w:tcPr>
            <w:tcW w:w="1134" w:type="dxa"/>
            <w:gridSpan w:val="2"/>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50446229"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6A76992E"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62DF7531"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18" w:space="0" w:color="000000"/>
              <w:left w:val="double" w:sz="4" w:space="0" w:color="000000"/>
              <w:bottom w:val="single" w:sz="4" w:space="0" w:color="000000"/>
              <w:right w:val="single" w:sz="18" w:space="0" w:color="000000"/>
            </w:tcBorders>
            <w:tcMar>
              <w:top w:w="0" w:type="dxa"/>
              <w:left w:w="28" w:type="dxa"/>
              <w:bottom w:w="0" w:type="dxa"/>
              <w:right w:w="28" w:type="dxa"/>
            </w:tcMar>
          </w:tcPr>
          <w:p w14:paraId="319FBFD4"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1EF06C33"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FDFB065"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7EFC7E"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w:t>
            </w:r>
          </w:p>
          <w:p w14:paraId="79A93387"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3:00-5:00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2AC65D"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防止靜負荷損害的設計分析：最大剪應力準則、形變能準則</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08D598"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F71324"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A62DA2"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03318CBA"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772692BB"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0873B5F4"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17F874"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7/6</w:t>
            </w:r>
          </w:p>
          <w:p w14:paraId="64A3576D"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1:00-3:00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5DCFE7" w14:textId="77777777" w:rsidR="003278DA" w:rsidRDefault="00000000">
            <w:pPr>
              <w:pStyle w:val="Standard"/>
              <w:snapToGrid w:val="0"/>
              <w:spacing w:line="280" w:lineRule="exact"/>
            </w:pPr>
            <w:r>
              <w:rPr>
                <w:rFonts w:ascii="新細明體, PMingLiU" w:eastAsia="標楷體" w:hAnsi="新細明體, PMingLiU" w:cs="新細明體, PMingLiU"/>
                <w:bCs/>
                <w:szCs w:val="24"/>
              </w:rPr>
              <w:t>防止靜負荷損害的設計分析：防止脆性材料之損壞的設計準則</w:t>
            </w:r>
            <w:r>
              <w:rPr>
                <w:rFonts w:ascii="新細明體" w:eastAsia="新細明體" w:hAnsi="新細明體" w:cs="新細明體, PMingLiU"/>
                <w:bCs/>
                <w:szCs w:val="24"/>
              </w:rPr>
              <w:t>、</w:t>
            </w:r>
            <w:r>
              <w:rPr>
                <w:rFonts w:ascii="新細明體, PMingLiU" w:eastAsia="標楷體" w:hAnsi="新細明體, PMingLiU" w:cs="新細明體, PMingLiU"/>
                <w:bCs/>
                <w:szCs w:val="24"/>
              </w:rPr>
              <w:t>破裂力學</w:t>
            </w:r>
            <w:r>
              <w:rPr>
                <w:rFonts w:ascii="新細明體, PMingLiU" w:eastAsia="標楷體" w:hAnsi="新細明體, PMingLiU" w:cs="新細明體, PMingLiU"/>
                <w:bCs/>
                <w:szCs w:val="24"/>
              </w:rPr>
              <w:t>_</w:t>
            </w:r>
            <w:r>
              <w:rPr>
                <w:rFonts w:ascii="新細明體, PMingLiU" w:eastAsia="標楷體" w:hAnsi="新細明體, PMingLiU" w:cs="新細明體, PMingLiU"/>
                <w:bCs/>
                <w:szCs w:val="24"/>
              </w:rPr>
              <w:t>防止含裂紋韌性材料破裂的設計準則</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FDD2EB"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9160D4"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3C8E97"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4C370E26"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14E23AD8"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1DD8025A"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DEF843"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7/6</w:t>
            </w:r>
          </w:p>
          <w:p w14:paraId="3EE6D358"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3:00-5:00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46A8DE"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防止靜負荷損害的統計性分析、可靠度分析及安全係數</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C92B96"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99D24B"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252E95"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2278F1D5"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3E9C3D02"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45F8285D"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3164F4"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7/7</w:t>
            </w:r>
          </w:p>
          <w:p w14:paraId="6DFAD76E"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1:00-3:00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277B4A"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滾珠軸承之類型、滾動軸承之壽命及負荷關係、滾動軸承之可靠度與壽命及負荷關係</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B1A81D"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8B3F64"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0BDDE1"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354BF900"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0AABCC67"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0ADD3E8F"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B5BCB4"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7/7</w:t>
            </w:r>
          </w:p>
          <w:p w14:paraId="2B152D8B"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3:00-5:00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80F367"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滾珠軸承径向及軸向負荷對壽命之組合影響、滾珠軸承之標準及規格、滾珠軸承受變動負荷之設計分析</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06A250"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8DC67C"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043A6B"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7C41FDA0"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2644B104"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BCD46D5"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235B28"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7/8</w:t>
            </w:r>
          </w:p>
          <w:p w14:paraId="206CD816"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1:00-3:00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AA9392"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滾錐軸承之類型、標準及規格、滾錐軸承影響壽命之等效負荷</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EBF7C5"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8D0F18"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88CCFC"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0C2C9B0B"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22863DB3"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3447ACE3"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lastRenderedPageBreak/>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C0506A"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7/8</w:t>
            </w:r>
          </w:p>
          <w:p w14:paraId="38D9C514"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3:00-5:00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6A708D"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滾動軸承之設計製圖、安裝及密封、滾動軸承之潤滑、滾動軸承之潤滑類型、潤滑油動力黏度、潤滑油運動黏度</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6C945C"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845DAB"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0A5791"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7FCE259F"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0BEEFAC4"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12F9B61A"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CBAE28"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7/13</w:t>
            </w:r>
          </w:p>
          <w:p w14:paraId="70E4FC89"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B902F7" w14:textId="77777777" w:rsidR="003278DA" w:rsidRDefault="00000000">
            <w:pPr>
              <w:pStyle w:val="Standard"/>
              <w:snapToGrid w:val="0"/>
              <w:spacing w:line="280" w:lineRule="exact"/>
            </w:pPr>
            <w:r>
              <w:rPr>
                <w:rFonts w:ascii="新細明體, PMingLiU" w:eastAsia="標楷體" w:hAnsi="新細明體, PMingLiU" w:cs="新細明體, PMingLiU"/>
                <w:bCs/>
                <w:szCs w:val="24"/>
              </w:rPr>
              <w:t>液動壓原理</w:t>
            </w:r>
            <w:r>
              <w:rPr>
                <w:rFonts w:ascii="標楷體" w:eastAsia="標楷體" w:hAnsi="標楷體" w:cs="新細明體, PMingLiU"/>
                <w:bCs/>
                <w:szCs w:val="24"/>
              </w:rPr>
              <w:t>：</w:t>
            </w:r>
            <w:r>
              <w:rPr>
                <w:rFonts w:ascii="新細明體, PMingLiU" w:eastAsia="標楷體" w:hAnsi="新細明體, PMingLiU" w:cs="新細明體, PMingLiU"/>
                <w:bCs/>
                <w:szCs w:val="24"/>
              </w:rPr>
              <w:t>Petroff’s</w:t>
            </w:r>
            <w:r>
              <w:rPr>
                <w:rFonts w:ascii="新細明體, PMingLiU" w:eastAsia="標楷體" w:hAnsi="新細明體, PMingLiU" w:cs="新細明體, PMingLiU"/>
                <w:bCs/>
                <w:szCs w:val="24"/>
              </w:rPr>
              <w:t>方程式、</w:t>
            </w:r>
            <w:r>
              <w:rPr>
                <w:rFonts w:ascii="新細明體, PMingLiU" w:eastAsia="標楷體" w:hAnsi="新細明體, PMingLiU" w:cs="新細明體, PMingLiU"/>
                <w:bCs/>
                <w:szCs w:val="24"/>
              </w:rPr>
              <w:t>1D</w:t>
            </w:r>
            <w:r>
              <w:rPr>
                <w:rFonts w:ascii="新細明體, PMingLiU" w:eastAsia="標楷體" w:hAnsi="新細明體, PMingLiU" w:cs="新細明體, PMingLiU"/>
                <w:bCs/>
                <w:szCs w:val="24"/>
              </w:rPr>
              <w:t>油膜方程式、</w:t>
            </w:r>
            <w:r>
              <w:rPr>
                <w:rFonts w:ascii="新細明體, PMingLiU" w:eastAsia="標楷體" w:hAnsi="新細明體, PMingLiU" w:cs="新細明體, PMingLiU"/>
                <w:bCs/>
                <w:szCs w:val="24"/>
              </w:rPr>
              <w:t>2D</w:t>
            </w:r>
            <w:r>
              <w:rPr>
                <w:rFonts w:ascii="新細明體, PMingLiU" w:eastAsia="標楷體" w:hAnsi="新細明體, PMingLiU" w:cs="新細明體, PMingLiU"/>
                <w:bCs/>
                <w:szCs w:val="24"/>
              </w:rPr>
              <w:t>油膜方程式、選油，液動壓原理</w:t>
            </w:r>
            <w:r>
              <w:rPr>
                <w:rFonts w:ascii="標楷體" w:eastAsia="標楷體" w:hAnsi="標楷體" w:cs="新細明體, PMingLiU"/>
                <w:bCs/>
                <w:szCs w:val="24"/>
              </w:rPr>
              <w:t>：</w:t>
            </w:r>
            <w:r>
              <w:rPr>
                <w:rFonts w:ascii="Times New Roman" w:eastAsia="標楷體" w:hAnsi="Times New Roman"/>
                <w:bCs/>
                <w:szCs w:val="24"/>
              </w:rPr>
              <w:t xml:space="preserve"> Sommerfeld</w:t>
            </w:r>
            <w:r>
              <w:rPr>
                <w:rFonts w:ascii="Times New Roman" w:eastAsia="標楷體" w:hAnsi="Times New Roman"/>
                <w:bCs/>
                <w:szCs w:val="24"/>
              </w:rPr>
              <w:t>數、全軸承油膜特性無因次參數與</w:t>
            </w:r>
            <w:r>
              <w:rPr>
                <w:rFonts w:ascii="Times New Roman" w:eastAsia="標楷體" w:hAnsi="Times New Roman"/>
                <w:bCs/>
                <w:szCs w:val="24"/>
              </w:rPr>
              <w:t>Sommerfeld</w:t>
            </w:r>
            <w:r>
              <w:rPr>
                <w:rFonts w:ascii="標楷體" w:eastAsia="標楷體" w:hAnsi="標楷體" w:cs="新細明體, PMingLiU"/>
                <w:bCs/>
                <w:szCs w:val="24"/>
              </w:rPr>
              <w:t>數之關係</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B3867D"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3B2B33"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F50970"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2C77D339"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67D885B5"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6A16E87F"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E2524A"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7/14</w:t>
            </w:r>
          </w:p>
          <w:p w14:paraId="047BA7EB"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E59D58" w14:textId="77777777" w:rsidR="003278DA" w:rsidRDefault="00000000">
            <w:pPr>
              <w:pStyle w:val="Standard"/>
              <w:snapToGrid w:val="0"/>
              <w:spacing w:line="280" w:lineRule="exact"/>
            </w:pPr>
            <w:r>
              <w:rPr>
                <w:rFonts w:ascii="新細明體, PMingLiU" w:eastAsia="標楷體" w:hAnsi="新細明體, PMingLiU" w:cs="新細明體, PMingLiU"/>
                <w:bCs/>
                <w:szCs w:val="24"/>
              </w:rPr>
              <w:t>油膜溫升之分析：循環冷卻、對流散熱、加壓循環冷卻</w:t>
            </w:r>
            <w:r>
              <w:rPr>
                <w:rFonts w:ascii="新細明體" w:eastAsia="新細明體" w:hAnsi="新細明體" w:cs="新細明體, PMingLiU"/>
                <w:bCs/>
                <w:szCs w:val="24"/>
              </w:rPr>
              <w:t>，</w:t>
            </w:r>
            <w:r>
              <w:rPr>
                <w:rFonts w:ascii="新細明體, PMingLiU" w:eastAsia="標楷體" w:hAnsi="新細明體, PMingLiU" w:cs="新細明體, PMingLiU"/>
                <w:bCs/>
                <w:szCs w:val="24"/>
              </w:rPr>
              <w:t>摩擦係數、溫升之分析、液動壓全軸承設計驗核分析</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D1EA93"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20C651"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65051F"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47822BD6"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6EC6DCBA"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88E7034"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7379F9" w14:textId="77777777" w:rsidR="003278DA" w:rsidRDefault="00000000">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7/15</w:t>
            </w:r>
          </w:p>
          <w:p w14:paraId="681AFB54" w14:textId="77777777" w:rsidR="003278DA" w:rsidRDefault="00000000">
            <w:pPr>
              <w:pStyle w:val="Standard"/>
              <w:snapToGrid w:val="0"/>
              <w:spacing w:line="280" w:lineRule="exact"/>
            </w:pPr>
            <w:r>
              <w:rPr>
                <w:rFonts w:ascii="新細明體, PMingLiU" w:eastAsia="標楷體" w:hAnsi="新細明體, PMingLiU" w:cs="新細明體, PMingLiU"/>
                <w:bCs/>
                <w:color w:val="0000FF"/>
                <w:sz w:val="20"/>
                <w:szCs w:val="20"/>
              </w:rPr>
              <w:t>pm. 2: 00-5: 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28B65B" w14:textId="77777777" w:rsidR="003278DA" w:rsidRDefault="00000000">
            <w:pPr>
              <w:pStyle w:val="Standard"/>
              <w:snapToGrid w:val="0"/>
              <w:spacing w:line="280" w:lineRule="exact"/>
            </w:pPr>
            <w:r>
              <w:rPr>
                <w:rFonts w:ascii="新細明體, PMingLiU" w:eastAsia="標楷體" w:hAnsi="新細明體, PMingLiU" w:cs="新細明體, PMingLiU"/>
                <w:bCs/>
                <w:color w:val="0000FF"/>
                <w:szCs w:val="24"/>
              </w:rPr>
              <w:t>期中考</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E8B007" w14:textId="77777777" w:rsidR="003278DA" w:rsidRDefault="00000000">
            <w:pPr>
              <w:pStyle w:val="Standard"/>
              <w:snapToGrid w:val="0"/>
              <w:spacing w:line="280" w:lineRule="exact"/>
              <w:jc w:val="center"/>
            </w:pPr>
            <w:r>
              <w:rPr>
                <w:rFonts w:ascii="新細明體, PMingLiU" w:eastAsia="標楷體" w:hAnsi="新細明體, PMingLiU" w:cs="新細明體, PMingLiU"/>
                <w:b/>
                <w:bCs/>
                <w:color w:val="0000FF"/>
                <w:szCs w:val="24"/>
              </w:rPr>
              <w:t>3</w:t>
            </w: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B5D6D5"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49FF7E7F"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69A4B529"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3409BC87"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5E0ECEEB"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24F73E"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7/20</w:t>
            </w:r>
          </w:p>
          <w:p w14:paraId="1A2DF89E"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1:00-3:00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A778DF" w14:textId="77777777" w:rsidR="003278DA" w:rsidRDefault="00000000">
            <w:pPr>
              <w:pStyle w:val="Standard"/>
              <w:snapToGrid w:val="0"/>
              <w:spacing w:line="280" w:lineRule="exact"/>
            </w:pPr>
            <w:r>
              <w:rPr>
                <w:rFonts w:ascii="新細明體, PMingLiU" w:eastAsia="標楷體" w:hAnsi="新細明體, PMingLiU" w:cs="新細明體, PMingLiU"/>
                <w:bCs/>
                <w:szCs w:val="24"/>
              </w:rPr>
              <w:t>防止疲勞損壞的設計</w:t>
            </w:r>
            <w:r>
              <w:rPr>
                <w:rFonts w:ascii="標楷體" w:eastAsia="標楷體" w:hAnsi="標楷體" w:cs="新細明體, PMingLiU"/>
                <w:bCs/>
                <w:szCs w:val="24"/>
              </w:rPr>
              <w:t>：</w:t>
            </w:r>
            <w:r>
              <w:rPr>
                <w:rFonts w:ascii="新細明體, PMingLiU" w:eastAsia="標楷體" w:hAnsi="新細明體, PMingLiU" w:cs="新細明體, PMingLiU"/>
                <w:bCs/>
                <w:szCs w:val="24"/>
              </w:rPr>
              <w:t>材料之疲勞試驗、應力振幅與壽命之關係、有限壽命設計分析：應力振幅強度之壽命分析、應變</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壽命設計分析</w:t>
            </w:r>
            <w:r>
              <w:rPr>
                <w:rFonts w:ascii="標楷體" w:eastAsia="標楷體" w:hAnsi="標楷體" w:cs="新細明體, PMingLiU"/>
                <w:bCs/>
                <w:szCs w:val="24"/>
              </w:rPr>
              <w:t>、</w:t>
            </w:r>
            <w:r>
              <w:rPr>
                <w:rFonts w:ascii="新細明體, PMingLiU" w:eastAsia="標楷體" w:hAnsi="新細明體, PMingLiU" w:cs="新細明體, PMingLiU"/>
                <w:bCs/>
                <w:szCs w:val="24"/>
              </w:rPr>
              <w:t>裂紋蔓延分析</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D4FB0C"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AFD4E5"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8757B8"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633CF181"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50AC761C"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492641A"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172A37"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7/20</w:t>
            </w:r>
          </w:p>
          <w:p w14:paraId="26BB41B2"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3:00-5:00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D4089A"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疲勞強度及忍耐限、忍耐限的影響因素及修正、應力集中及缺口敏感度</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5AEBF6"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1B2B7D"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601C46"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0B29764F"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77EA7FD9"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033BFFF8"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D780DF"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7/21</w:t>
            </w:r>
          </w:p>
          <w:p w14:paraId="7977B231"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1:00-3:00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FC0812"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防止疲勞損壞的無限壽命設計：</w:t>
            </w:r>
            <w:r>
              <w:rPr>
                <w:rFonts w:ascii="新細明體, PMingLiU" w:eastAsia="標楷體" w:hAnsi="新細明體, PMingLiU" w:cs="新細明體, PMingLiU"/>
                <w:bCs/>
                <w:szCs w:val="24"/>
              </w:rPr>
              <w:t>Soderberg</w:t>
            </w:r>
            <w:r>
              <w:rPr>
                <w:rFonts w:ascii="新細明體, PMingLiU" w:eastAsia="標楷體" w:hAnsi="新細明體, PMingLiU" w:cs="新細明體, PMingLiU"/>
                <w:bCs/>
                <w:szCs w:val="24"/>
              </w:rPr>
              <w:t>線性準則、</w:t>
            </w:r>
            <w:r>
              <w:rPr>
                <w:rFonts w:ascii="新細明體, PMingLiU" w:eastAsia="標楷體" w:hAnsi="新細明體, PMingLiU" w:cs="新細明體, PMingLiU"/>
                <w:bCs/>
                <w:szCs w:val="24"/>
              </w:rPr>
              <w:t>Modified Goodman</w:t>
            </w:r>
            <w:r>
              <w:rPr>
                <w:rFonts w:ascii="新細明體, PMingLiU" w:eastAsia="標楷體" w:hAnsi="新細明體, PMingLiU" w:cs="新細明體, PMingLiU"/>
                <w:bCs/>
                <w:szCs w:val="24"/>
              </w:rPr>
              <w:t>分段線性準則、</w:t>
            </w:r>
            <w:r>
              <w:rPr>
                <w:rFonts w:ascii="新細明體, PMingLiU" w:eastAsia="標楷體" w:hAnsi="新細明體, PMingLiU" w:cs="新細明體, PMingLiU"/>
                <w:bCs/>
                <w:szCs w:val="24"/>
              </w:rPr>
              <w:t>Gerber</w:t>
            </w:r>
            <w:r>
              <w:rPr>
                <w:rFonts w:ascii="新細明體, PMingLiU" w:eastAsia="標楷體" w:hAnsi="新細明體, PMingLiU" w:cs="新細明體, PMingLiU"/>
                <w:bCs/>
                <w:szCs w:val="24"/>
              </w:rPr>
              <w:t>拋物線準則、</w:t>
            </w:r>
            <w:r>
              <w:rPr>
                <w:rFonts w:ascii="新細明體, PMingLiU" w:eastAsia="標楷體" w:hAnsi="新細明體, PMingLiU" w:cs="新細明體, PMingLiU"/>
                <w:bCs/>
                <w:szCs w:val="24"/>
              </w:rPr>
              <w:t>ASME-elliptic</w:t>
            </w:r>
            <w:r>
              <w:rPr>
                <w:rFonts w:ascii="新細明體, PMingLiU" w:eastAsia="標楷體" w:hAnsi="新細明體, PMingLiU" w:cs="新細明體, PMingLiU"/>
                <w:bCs/>
                <w:szCs w:val="24"/>
              </w:rPr>
              <w:t>橢圓準則</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CE8790"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335DE1"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A54DEA"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61AAFE4B"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1D5FBD43"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A37AAA7"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9ACE91"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7/21</w:t>
            </w:r>
          </w:p>
          <w:p w14:paraId="01F35AEF"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3:00-5:00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F43686" w14:textId="77777777" w:rsidR="003278DA" w:rsidRDefault="00000000">
            <w:pPr>
              <w:pStyle w:val="Standard"/>
              <w:snapToGrid w:val="0"/>
              <w:spacing w:line="280" w:lineRule="exact"/>
            </w:pPr>
            <w:r>
              <w:rPr>
                <w:rFonts w:ascii="標楷體" w:eastAsia="標楷體" w:hAnsi="標楷體" w:cs="新細明體, PMingLiU"/>
                <w:bCs/>
                <w:szCs w:val="24"/>
              </w:rPr>
              <w:t>扭轉疲勞強度、防止組合應力疲勞損壞的無限壽命設計</w:t>
            </w:r>
            <w:r>
              <w:rPr>
                <w:rFonts w:ascii="新細明體, PMingLiU" w:eastAsia="標楷體" w:hAnsi="新細明體, PMingLiU" w:cs="新細明體, PMingLiU"/>
                <w:bCs/>
                <w:szCs w:val="24"/>
              </w:rPr>
              <w:t>、損傷累積之</w:t>
            </w:r>
            <w:r>
              <w:rPr>
                <w:rFonts w:ascii="新細明體, PMingLiU" w:eastAsia="標楷體" w:hAnsi="新細明體, PMingLiU" w:cs="新細明體, PMingLiU"/>
                <w:bCs/>
                <w:szCs w:val="24"/>
              </w:rPr>
              <w:t>Palmgren-Miner</w:t>
            </w:r>
            <w:r>
              <w:rPr>
                <w:rFonts w:ascii="新細明體, PMingLiU" w:eastAsia="標楷體" w:hAnsi="新細明體, PMingLiU" w:cs="新細明體, PMingLiU"/>
                <w:bCs/>
                <w:szCs w:val="24"/>
              </w:rPr>
              <w:t>律、損傷後忍耐限降低之分析</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DC9943"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F05D01"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2CDC03"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4301211A"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456C7DC0"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CEC6C82"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0BA7C6"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7/22</w:t>
            </w:r>
          </w:p>
          <w:p w14:paraId="7B3003CF"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0F14D5"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表面疲勞強度、無限壽命設計之統計性分析、忍耐限及應力集中之分布函數、無限壽命之可靠度分析及安全係數</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9F1A4D"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C0DD9B"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0250C8"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3CE201D1"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7033E601"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6E210BE2"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D1D4D7"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7/27</w:t>
            </w:r>
          </w:p>
          <w:p w14:paraId="00DEF9C7"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1:00-3:00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20E737"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摩擦接觸壓力分佈、圓環形蝶式剎車及離合器之設計分析、部分圓環形及圓形蝶式剎車之設計分析、錐面剎車及離合器之設計分析、短靴之轂式剎車及離合器之設計分析</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A52EAFE"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tcPr>
          <w:p w14:paraId="3A0DF896"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0652B5"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1E9FB6C8"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4A878958"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120B9BEB"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693B0B"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7/27</w:t>
            </w:r>
          </w:p>
          <w:p w14:paraId="7A0B096E"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3:00-5:00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75CB82"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長靴之轂式剎車及離合器之設計分析：內張式、外縮式、對稱型以及摩擦材料</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60CE829"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tcPr>
          <w:p w14:paraId="38332DA2"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6A774C"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756F511C"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44083894"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4CACDDA5"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BFD344"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7/28</w:t>
            </w:r>
          </w:p>
          <w:p w14:paraId="4018A6C1"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C205CB"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帶式剎車及離合器之設計分析，離合作用及剎車作用的時間計算、能量分析、溫升計算</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A6501C2"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tcPr>
          <w:p w14:paraId="60012E1D"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53090B"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148EC42A"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5917A45F" w14:textId="77777777">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0A6F5DE3"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7171F4"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7/29</w:t>
            </w:r>
          </w:p>
          <w:p w14:paraId="342D8917" w14:textId="77777777" w:rsidR="003278DA" w:rsidRDefault="00000000">
            <w:pPr>
              <w:pStyle w:val="Standard"/>
              <w:snapToGrid w:val="0"/>
              <w:spacing w:line="280" w:lineRule="exact"/>
            </w:pPr>
            <w:r>
              <w:rPr>
                <w:rFonts w:ascii="新細明體, PMingLiU" w:eastAsia="標楷體" w:hAnsi="新細明體, PMingLiU" w:cs="新細明體, PMingLiU"/>
                <w:bCs/>
                <w:sz w:val="20"/>
                <w:szCs w:val="20"/>
              </w:rPr>
              <w:t>pm. 1:00-5:00</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F0FD1D" w14:textId="77777777" w:rsidR="003278DA" w:rsidRDefault="0000000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飛輪之設計分析，離合器及聯軸器類型選用</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252B1F7F"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tcPr>
          <w:p w14:paraId="02641C70"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A3AB3C" w14:textId="77777777" w:rsidR="003278DA" w:rsidRDefault="0000000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02ECFFA2"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4E56FB15" w14:textId="77777777">
        <w:trPr>
          <w:cantSplit/>
          <w:trHeight w:val="340"/>
          <w:jc w:val="center"/>
        </w:trPr>
        <w:tc>
          <w:tcPr>
            <w:tcW w:w="608" w:type="dxa"/>
            <w:tcBorders>
              <w:top w:val="single" w:sz="4" w:space="0" w:color="000000"/>
              <w:left w:val="single" w:sz="18" w:space="0" w:color="000000"/>
              <w:bottom w:val="single" w:sz="18" w:space="0" w:color="000000"/>
            </w:tcBorders>
            <w:tcMar>
              <w:top w:w="0" w:type="dxa"/>
              <w:left w:w="28" w:type="dxa"/>
              <w:bottom w:w="0" w:type="dxa"/>
              <w:right w:w="28" w:type="dxa"/>
            </w:tcMar>
          </w:tcPr>
          <w:p w14:paraId="7B09A508" w14:textId="77777777" w:rsidR="003278DA" w:rsidRDefault="0000000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18" w:space="0" w:color="000000"/>
            </w:tcBorders>
            <w:tcMar>
              <w:top w:w="0" w:type="dxa"/>
              <w:left w:w="28" w:type="dxa"/>
              <w:bottom w:w="0" w:type="dxa"/>
              <w:right w:w="28" w:type="dxa"/>
            </w:tcMar>
            <w:vAlign w:val="center"/>
          </w:tcPr>
          <w:p w14:paraId="3C0D108E" w14:textId="77777777" w:rsidR="003278DA" w:rsidRDefault="00000000">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7/30</w:t>
            </w:r>
          </w:p>
          <w:p w14:paraId="5C40D9BF" w14:textId="77777777" w:rsidR="003278DA" w:rsidRDefault="00000000">
            <w:pPr>
              <w:pStyle w:val="Standard"/>
              <w:snapToGrid w:val="0"/>
              <w:spacing w:line="280" w:lineRule="exact"/>
            </w:pPr>
            <w:r>
              <w:rPr>
                <w:rFonts w:ascii="新細明體, PMingLiU" w:eastAsia="標楷體" w:hAnsi="新細明體, PMingLiU" w:cs="新細明體, PMingLiU"/>
                <w:bCs/>
                <w:color w:val="0000FF"/>
                <w:sz w:val="20"/>
                <w:szCs w:val="20"/>
              </w:rPr>
              <w:t>pm. 2: 00-5: 00</w:t>
            </w:r>
          </w:p>
        </w:tc>
        <w:tc>
          <w:tcPr>
            <w:tcW w:w="4809" w:type="dxa"/>
            <w:gridSpan w:val="5"/>
            <w:tcBorders>
              <w:top w:val="single" w:sz="4" w:space="0" w:color="000000"/>
              <w:left w:val="single" w:sz="4" w:space="0" w:color="000000"/>
              <w:bottom w:val="single" w:sz="18" w:space="0" w:color="000000"/>
            </w:tcBorders>
            <w:tcMar>
              <w:top w:w="0" w:type="dxa"/>
              <w:left w:w="28" w:type="dxa"/>
              <w:bottom w:w="0" w:type="dxa"/>
              <w:right w:w="28" w:type="dxa"/>
            </w:tcMar>
            <w:vAlign w:val="center"/>
          </w:tcPr>
          <w:p w14:paraId="3EEE5D23" w14:textId="77777777" w:rsidR="003278DA" w:rsidRDefault="00000000">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期末考</w:t>
            </w:r>
          </w:p>
        </w:tc>
        <w:tc>
          <w:tcPr>
            <w:tcW w:w="1134" w:type="dxa"/>
            <w:gridSpan w:val="2"/>
            <w:tcBorders>
              <w:top w:val="single" w:sz="4" w:space="0" w:color="000000"/>
              <w:left w:val="single" w:sz="4" w:space="0" w:color="000000"/>
              <w:bottom w:val="single" w:sz="18" w:space="0" w:color="000000"/>
            </w:tcBorders>
            <w:tcMar>
              <w:top w:w="0" w:type="dxa"/>
              <w:left w:w="28" w:type="dxa"/>
              <w:bottom w:w="0" w:type="dxa"/>
              <w:right w:w="28" w:type="dxa"/>
            </w:tcMar>
            <w:vAlign w:val="center"/>
          </w:tcPr>
          <w:p w14:paraId="5977DF01" w14:textId="77777777" w:rsidR="003278DA" w:rsidRDefault="00000000">
            <w:pPr>
              <w:pStyle w:val="Standard"/>
              <w:snapToGrid w:val="0"/>
              <w:spacing w:line="280" w:lineRule="exact"/>
              <w:jc w:val="center"/>
            </w:pPr>
            <w:r>
              <w:rPr>
                <w:rFonts w:ascii="新細明體, PMingLiU" w:eastAsia="標楷體" w:hAnsi="新細明體, PMingLiU" w:cs="新細明體, PMingLiU"/>
                <w:b/>
                <w:bCs/>
                <w:color w:val="0000FF"/>
                <w:szCs w:val="24"/>
              </w:rPr>
              <w:t>3</w:t>
            </w:r>
          </w:p>
        </w:tc>
        <w:tc>
          <w:tcPr>
            <w:tcW w:w="833" w:type="dxa"/>
            <w:tcBorders>
              <w:top w:val="single" w:sz="4" w:space="0" w:color="000000"/>
              <w:left w:val="single" w:sz="4" w:space="0" w:color="000000"/>
              <w:bottom w:val="single" w:sz="18" w:space="0" w:color="000000"/>
            </w:tcBorders>
            <w:tcMar>
              <w:top w:w="0" w:type="dxa"/>
              <w:left w:w="28" w:type="dxa"/>
              <w:bottom w:w="0" w:type="dxa"/>
              <w:right w:w="28" w:type="dxa"/>
            </w:tcMar>
          </w:tcPr>
          <w:p w14:paraId="66B31AA7"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18" w:space="0" w:color="000000"/>
            </w:tcBorders>
            <w:tcMar>
              <w:top w:w="0" w:type="dxa"/>
              <w:left w:w="28" w:type="dxa"/>
              <w:bottom w:w="0" w:type="dxa"/>
              <w:right w:w="28" w:type="dxa"/>
            </w:tcMar>
          </w:tcPr>
          <w:p w14:paraId="00126B16"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18" w:space="0" w:color="000000"/>
              <w:right w:val="single" w:sz="18" w:space="0" w:color="000000"/>
            </w:tcBorders>
            <w:tcMar>
              <w:top w:w="0" w:type="dxa"/>
              <w:left w:w="28" w:type="dxa"/>
              <w:bottom w:w="0" w:type="dxa"/>
              <w:right w:w="28" w:type="dxa"/>
            </w:tcMar>
          </w:tcPr>
          <w:p w14:paraId="5DA2EC7A" w14:textId="77777777" w:rsidR="003278DA" w:rsidRDefault="003278DA">
            <w:pPr>
              <w:pStyle w:val="Standard"/>
              <w:snapToGrid w:val="0"/>
              <w:spacing w:line="280" w:lineRule="exact"/>
              <w:jc w:val="center"/>
              <w:rPr>
                <w:rFonts w:ascii="新細明體, PMingLiU" w:eastAsia="標楷體" w:hAnsi="新細明體, PMingLiU" w:cs="新細明體, PMingLiU" w:hint="eastAsia"/>
                <w:bCs/>
                <w:szCs w:val="24"/>
              </w:rPr>
            </w:pPr>
          </w:p>
        </w:tc>
      </w:tr>
      <w:tr w:rsidR="003278DA" w14:paraId="0F66A70C" w14:textId="77777777">
        <w:trPr>
          <w:cantSplit/>
          <w:jc w:val="center"/>
        </w:trPr>
        <w:tc>
          <w:tcPr>
            <w:tcW w:w="6861" w:type="dxa"/>
            <w:gridSpan w:val="8"/>
            <w:tcBorders>
              <w:top w:val="single" w:sz="4" w:space="0" w:color="000000"/>
              <w:left w:val="single" w:sz="18" w:space="0" w:color="000000"/>
              <w:bottom w:val="single" w:sz="18" w:space="0" w:color="000000"/>
            </w:tcBorders>
            <w:tcMar>
              <w:top w:w="0" w:type="dxa"/>
              <w:left w:w="28" w:type="dxa"/>
              <w:bottom w:w="0" w:type="dxa"/>
              <w:right w:w="28" w:type="dxa"/>
            </w:tcMar>
          </w:tcPr>
          <w:p w14:paraId="79EB3848" w14:textId="77777777" w:rsidR="003278DA" w:rsidRDefault="00000000">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tcMar>
              <w:top w:w="0" w:type="dxa"/>
              <w:left w:w="28" w:type="dxa"/>
              <w:bottom w:w="0" w:type="dxa"/>
              <w:right w:w="28" w:type="dxa"/>
            </w:tcMar>
          </w:tcPr>
          <w:p w14:paraId="4FDB1253" w14:textId="77777777" w:rsidR="003278DA" w:rsidRDefault="00000000">
            <w:pPr>
              <w:pStyle w:val="Standard"/>
              <w:snapToGrid w:val="0"/>
              <w:spacing w:line="280" w:lineRule="exact"/>
              <w:jc w:val="center"/>
              <w:rPr>
                <w:rFonts w:ascii="新細明體, PMingLiU" w:eastAsia="標楷體" w:hAnsi="新細明體, PMingLiU" w:cs="新細明體, PMingLiU" w:hint="eastAsia"/>
                <w:b/>
                <w:bCs/>
                <w:color w:val="0000FF"/>
                <w:szCs w:val="24"/>
              </w:rPr>
            </w:pPr>
            <w:r>
              <w:rPr>
                <w:rFonts w:ascii="新細明體, PMingLiU" w:eastAsia="標楷體" w:hAnsi="新細明體, PMingLiU" w:cs="新細明體, PMingLiU"/>
                <w:b/>
                <w:bCs/>
                <w:color w:val="0000FF"/>
                <w:szCs w:val="24"/>
              </w:rPr>
              <w:t>6</w:t>
            </w:r>
          </w:p>
        </w:tc>
        <w:tc>
          <w:tcPr>
            <w:tcW w:w="833" w:type="dxa"/>
            <w:tcBorders>
              <w:top w:val="single" w:sz="4" w:space="0" w:color="000000"/>
              <w:left w:val="single" w:sz="4" w:space="0" w:color="000000"/>
              <w:bottom w:val="single" w:sz="18" w:space="0" w:color="000000"/>
            </w:tcBorders>
            <w:tcMar>
              <w:top w:w="0" w:type="dxa"/>
              <w:left w:w="28" w:type="dxa"/>
              <w:bottom w:w="0" w:type="dxa"/>
              <w:right w:w="28" w:type="dxa"/>
            </w:tcMar>
          </w:tcPr>
          <w:p w14:paraId="225AD0D9" w14:textId="77777777" w:rsidR="003278DA" w:rsidRDefault="003278DA">
            <w:pPr>
              <w:pStyle w:val="Standard"/>
              <w:snapToGrid w:val="0"/>
              <w:spacing w:line="280" w:lineRule="exact"/>
              <w:jc w:val="center"/>
              <w:rPr>
                <w:rFonts w:ascii="新細明體, PMingLiU" w:eastAsia="標楷體" w:hAnsi="新細明體, PMingLiU" w:cs="新細明體, PMingLiU" w:hint="eastAsia"/>
                <w:b/>
                <w:bCs/>
                <w:szCs w:val="24"/>
              </w:rPr>
            </w:pPr>
          </w:p>
        </w:tc>
        <w:tc>
          <w:tcPr>
            <w:tcW w:w="699" w:type="dxa"/>
            <w:tcBorders>
              <w:top w:val="single" w:sz="4" w:space="0" w:color="000000"/>
              <w:left w:val="single" w:sz="4" w:space="0" w:color="000000"/>
              <w:bottom w:val="single" w:sz="18" w:space="0" w:color="000000"/>
            </w:tcBorders>
            <w:tcMar>
              <w:top w:w="0" w:type="dxa"/>
              <w:left w:w="28" w:type="dxa"/>
              <w:bottom w:w="0" w:type="dxa"/>
              <w:right w:w="28" w:type="dxa"/>
            </w:tcMar>
          </w:tcPr>
          <w:p w14:paraId="110ACE61" w14:textId="77777777" w:rsidR="003278DA" w:rsidRDefault="00000000">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48</w:t>
            </w:r>
          </w:p>
        </w:tc>
        <w:tc>
          <w:tcPr>
            <w:tcW w:w="1084" w:type="dxa"/>
            <w:tcBorders>
              <w:top w:val="single" w:sz="4" w:space="0" w:color="000000"/>
              <w:left w:val="double" w:sz="4" w:space="0" w:color="000000"/>
              <w:bottom w:val="single" w:sz="18" w:space="0" w:color="000000"/>
              <w:right w:val="single" w:sz="18" w:space="0" w:color="000000"/>
            </w:tcBorders>
            <w:tcMar>
              <w:top w:w="0" w:type="dxa"/>
              <w:left w:w="28" w:type="dxa"/>
              <w:bottom w:w="0" w:type="dxa"/>
              <w:right w:w="28" w:type="dxa"/>
            </w:tcMar>
          </w:tcPr>
          <w:p w14:paraId="669C25E5" w14:textId="77777777" w:rsidR="003278DA" w:rsidRDefault="003278DA">
            <w:pPr>
              <w:pStyle w:val="Standard"/>
              <w:snapToGrid w:val="0"/>
              <w:spacing w:line="280" w:lineRule="exact"/>
              <w:jc w:val="center"/>
              <w:rPr>
                <w:rFonts w:ascii="新細明體, PMingLiU" w:eastAsia="標楷體" w:hAnsi="新細明體, PMingLiU" w:cs="新細明體, PMingLiU" w:hint="eastAsia"/>
                <w:b/>
                <w:bCs/>
                <w:szCs w:val="24"/>
              </w:rPr>
            </w:pPr>
          </w:p>
        </w:tc>
      </w:tr>
      <w:tr w:rsidR="003278DA" w14:paraId="3894F86B" w14:textId="77777777">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14:paraId="70233D91" w14:textId="77777777" w:rsidR="003278DA" w:rsidRDefault="00000000">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四、教學方式</w:t>
            </w:r>
          </w:p>
          <w:p w14:paraId="12FDC516" w14:textId="77777777" w:rsidR="003278DA" w:rsidRDefault="00000000">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14:paraId="2C7E9591" w14:textId="77777777" w:rsidR="003278DA" w:rsidRDefault="003278DA">
            <w:pPr>
              <w:pStyle w:val="Standard"/>
              <w:spacing w:line="280" w:lineRule="exact"/>
              <w:jc w:val="both"/>
              <w:rPr>
                <w:rFonts w:ascii="新細明體, PMingLiU" w:eastAsia="標楷體" w:hAnsi="新細明體, PMingLiU" w:cs="新細明體, PMingLiU" w:hint="eastAsia"/>
                <w:bCs/>
                <w:szCs w:val="24"/>
              </w:rPr>
            </w:pPr>
          </w:p>
          <w:p w14:paraId="0F3C947A" w14:textId="77777777" w:rsidR="003278DA" w:rsidRDefault="00000000">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2218B3A9" w14:textId="77777777" w:rsidR="003278DA" w:rsidRDefault="00000000">
            <w:pPr>
              <w:pStyle w:val="Standard"/>
              <w:snapToGrid w:val="0"/>
              <w:spacing w:line="280" w:lineRule="exact"/>
              <w:jc w:val="both"/>
            </w:pPr>
            <w:r>
              <w:rPr>
                <w:rFonts w:ascii="新細明體, PMingLiU" w:hAnsi="新細明體, PMingLiU" w:cs="新細明體, PMingLiU"/>
                <w:color w:val="FF0000"/>
                <w:szCs w:val="24"/>
              </w:rPr>
              <w:t xml:space="preserve">                                      </w:t>
            </w:r>
            <w:r>
              <w:rPr>
                <w:rFonts w:ascii="新細明體, PMingLiU" w:eastAsia="標楷體" w:hAnsi="新細明體, PMingLiU" w:cs="新細明體, PMingLiU"/>
                <w:b/>
                <w:color w:val="FF0000"/>
                <w:szCs w:val="24"/>
                <w:shd w:val="clear" w:color="auto" w:fill="FFFF00"/>
              </w:rPr>
              <w:t>本欄若有填寫次數請與上表一致</w:t>
            </w:r>
          </w:p>
          <w:p w14:paraId="28B11BBC" w14:textId="77777777" w:rsidR="003278DA" w:rsidRDefault="00000000">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14:paraId="2D81BDC2"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14:paraId="655999BC" w14:textId="77777777" w:rsidR="003278DA" w:rsidRDefault="00000000">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教師或線上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14:paraId="396BAE78" w14:textId="77777777" w:rsidR="003278DA" w:rsidRDefault="00000000">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提供</w:t>
            </w:r>
            <w:r>
              <w:rPr>
                <w:rFonts w:ascii="新細明體, PMingLiU" w:eastAsia="標楷體" w:hAnsi="新細明體, PMingLiU" w:cs="新細明體, PMingLiU"/>
                <w:b/>
                <w:color w:val="000000"/>
                <w:szCs w:val="24"/>
              </w:rPr>
              <w:t>面授</w:t>
            </w:r>
            <w:r>
              <w:rPr>
                <w:rFonts w:ascii="新細明體, PMingLiU" w:eastAsia="標楷體" w:hAnsi="新細明體, PMingLiU" w:cs="新細明體, PMingLiU"/>
                <w:color w:val="000000"/>
                <w:szCs w:val="24"/>
              </w:rPr>
              <w:t>教學，次數：</w:t>
            </w:r>
            <w:r>
              <w:rPr>
                <w:rFonts w:ascii="新細明體, PMingLiU" w:hAnsi="新細明體, PMingLiU" w:cs="新細明體, PMingLiU"/>
                <w:szCs w:val="24"/>
                <w:u w:val="single"/>
              </w:rPr>
              <w:t xml:space="preserve">   </w:t>
            </w:r>
            <w:r>
              <w:rPr>
                <w:rFonts w:ascii="新細明體" w:eastAsia="新細明體" w:hAnsi="新細明體" w:cs="新細明體, PMingLiU"/>
                <w:szCs w:val="24"/>
                <w:u w:val="single"/>
              </w:rPr>
              <w:t>2</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 xml:space="preserve">A= </w:t>
            </w:r>
            <w:r>
              <w:rPr>
                <w:rFonts w:ascii="新細明體, PMingLiU" w:eastAsia="標楷體" w:hAnsi="新細明體, PMingLiU" w:cs="新細明體, PMingLiU"/>
                <w:bCs/>
                <w:color w:val="0000FF"/>
                <w:szCs w:val="24"/>
                <w:u w:val="single"/>
              </w:rPr>
              <w:t xml:space="preserve">  6  </w:t>
            </w:r>
            <w:r>
              <w:rPr>
                <w:rFonts w:ascii="新細明體, PMingLiU" w:eastAsia="標楷體" w:hAnsi="新細明體, PMingLiU" w:cs="新細明體, PMingLiU"/>
                <w:bCs/>
                <w:color w:val="0000FF"/>
                <w:szCs w:val="24"/>
              </w:rPr>
              <w:t>小時</w:t>
            </w:r>
          </w:p>
          <w:p w14:paraId="7310FE05" w14:textId="77777777" w:rsidR="003278DA" w:rsidRDefault="00000000">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color w:val="000000"/>
                <w:szCs w:val="24"/>
              </w:rPr>
              <w:t>同步</w:t>
            </w:r>
            <w:r>
              <w:rPr>
                <w:rFonts w:ascii="新細明體, PMingLiU" w:eastAsia="標楷體" w:hAnsi="新細明體, PMingLiU" w:cs="新細明體, PMingLiU"/>
                <w:color w:val="000000"/>
                <w:szCs w:val="24"/>
              </w:rPr>
              <w:t>教學</w:t>
            </w:r>
            <w:r>
              <w:rPr>
                <w:rFonts w:ascii="新細明體, PMingLiU" w:eastAsia="標楷體" w:hAnsi="新細明體, PMingLiU" w:cs="新細明體, PMingLiU"/>
                <w:szCs w:val="24"/>
              </w:rPr>
              <w:t>，即</w:t>
            </w:r>
            <w:r>
              <w:rPr>
                <w:rFonts w:ascii="新細明體, PMingLiU" w:eastAsia="標楷體" w:hAnsi="新細明體, PMingLiU" w:cs="新細明體, PMingLiU"/>
                <w:color w:val="385623"/>
                <w:szCs w:val="24"/>
              </w:rPr>
              <w:t>同一時間透過網路與學生連線進行教學</w:t>
            </w:r>
          </w:p>
          <w:p w14:paraId="6DEDEA25" w14:textId="77777777" w:rsidR="003278DA" w:rsidRDefault="00000000">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Pr>
                <w:rFonts w:ascii="新細明體, PMingLiU" w:hAnsi="新細明體, PMingLiU" w:cs="新細明體, PMingLiU"/>
                <w:szCs w:val="24"/>
                <w:u w:val="single"/>
              </w:rPr>
              <w:t xml:space="preserve">  </w:t>
            </w:r>
            <w:r>
              <w:rPr>
                <w:rFonts w:ascii="新細明體" w:eastAsia="新細明體" w:hAnsi="新細明體" w:cs="新細明體, PMingLiU"/>
                <w:szCs w:val="24"/>
                <w:u w:val="single"/>
              </w:rPr>
              <w:t>16</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48  </w:t>
            </w:r>
            <w:r>
              <w:rPr>
                <w:rFonts w:ascii="新細明體, PMingLiU" w:eastAsia="標楷體" w:hAnsi="新細明體, PMingLiU" w:cs="新細明體, PMingLiU"/>
                <w:bCs/>
                <w:color w:val="0000FF"/>
                <w:szCs w:val="24"/>
              </w:rPr>
              <w:t>小時</w:t>
            </w:r>
          </w:p>
          <w:p w14:paraId="5B3C6FAC" w14:textId="77777777" w:rsidR="003278DA" w:rsidRDefault="00000000">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r>
              <w:rPr>
                <w:rFonts w:ascii="新細明體, PMingLiU" w:eastAsia="標楷體" w:hAnsi="新細明體, PMingLiU" w:cs="新細明體, PMingLiU"/>
                <w:szCs w:val="24"/>
              </w:rPr>
              <w:t>其它，請說明：</w:t>
            </w:r>
            <w:r>
              <w:rPr>
                <w:rFonts w:ascii="新細明體, PMingLiU" w:hAnsi="新細明體, PMingLiU" w:cs="新細明體, PMingLiU"/>
                <w:color w:val="000000"/>
                <w:szCs w:val="24"/>
                <w:u w:val="single"/>
              </w:rPr>
              <w:t xml:space="preserve">                                       </w:t>
            </w:r>
          </w:p>
        </w:tc>
      </w:tr>
      <w:tr w:rsidR="003278DA" w14:paraId="5285F27B" w14:textId="77777777">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460B0008" w14:textId="77777777" w:rsidR="003278DA" w:rsidRDefault="00000000">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14:paraId="2F0D009C" w14:textId="77777777" w:rsidR="003278DA" w:rsidRDefault="00000000">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tcMar>
              <w:top w:w="0" w:type="dxa"/>
              <w:left w:w="28" w:type="dxa"/>
              <w:bottom w:w="0" w:type="dxa"/>
              <w:right w:w="28" w:type="dxa"/>
            </w:tcMar>
            <w:vAlign w:val="center"/>
          </w:tcPr>
          <w:p w14:paraId="20DD2203" w14:textId="77777777" w:rsidR="003278DA" w:rsidRDefault="00000000">
            <w:pPr>
              <w:pStyle w:val="Standard"/>
              <w:snapToGrid w:val="0"/>
              <w:spacing w:line="280" w:lineRule="exact"/>
              <w:jc w:val="center"/>
              <w:rPr>
                <w:rFonts w:ascii="新細明體, PMingLiU" w:eastAsia="標楷體" w:hAnsi="新細明體, PMingLiU" w:cs="新細明體, PMingLiU" w:hint="eastAsia"/>
                <w:color w:val="000000"/>
                <w:kern w:val="0"/>
                <w:szCs w:val="24"/>
              </w:rPr>
            </w:pPr>
            <w:r>
              <w:rPr>
                <w:rFonts w:ascii="新細明體, PMingLiU" w:eastAsia="標楷體" w:hAnsi="新細明體, PMingLiU" w:cs="新細明體, PMingLiU"/>
                <w:color w:val="000000"/>
                <w:kern w:val="0"/>
                <w:szCs w:val="24"/>
              </w:rPr>
              <w:t>10.8</w:t>
            </w:r>
          </w:p>
        </w:tc>
        <w:tc>
          <w:tcPr>
            <w:tcW w:w="6493" w:type="dxa"/>
            <w:gridSpan w:val="9"/>
            <w:tcBorders>
              <w:top w:val="single" w:sz="6" w:space="0" w:color="000000"/>
              <w:left w:val="single" w:sz="6" w:space="0" w:color="000000"/>
              <w:bottom w:val="single" w:sz="18" w:space="0" w:color="000000"/>
              <w:right w:val="single" w:sz="18" w:space="0" w:color="000000"/>
            </w:tcBorders>
            <w:tcMar>
              <w:top w:w="0" w:type="dxa"/>
              <w:left w:w="28" w:type="dxa"/>
              <w:bottom w:w="0" w:type="dxa"/>
              <w:right w:w="28" w:type="dxa"/>
            </w:tcMar>
            <w:vAlign w:val="center"/>
          </w:tcPr>
          <w:p w14:paraId="5E6E8F8D" w14:textId="77777777" w:rsidR="003278DA" w:rsidRDefault="00000000">
            <w:pPr>
              <w:pStyle w:val="Standard"/>
              <w:snapToGrid w:val="0"/>
              <w:spacing w:line="280" w:lineRule="exact"/>
            </w:pPr>
            <w:r>
              <w:rPr>
                <w:rFonts w:ascii="標楷體" w:eastAsia="標楷體" w:hAnsi="標楷體" w:cs="標楷體"/>
                <w:szCs w:val="24"/>
              </w:rPr>
              <w:t>※即(A+B)/</w:t>
            </w:r>
            <w:r>
              <w:rPr>
                <w:rFonts w:ascii="標楷體" w:eastAsia="標楷體" w:hAnsi="標楷體" w:cs="標楷體"/>
                <w:color w:val="EE0000"/>
                <w:szCs w:val="24"/>
              </w:rPr>
              <w:t>5</w:t>
            </w:r>
            <w:r>
              <w:rPr>
                <w:rFonts w:ascii="標楷體" w:eastAsia="標楷體" w:hAnsi="標楷體" w:cs="標楷體"/>
                <w:szCs w:val="24"/>
              </w:rPr>
              <w:t>週</w:t>
            </w:r>
          </w:p>
        </w:tc>
      </w:tr>
      <w:tr w:rsidR="003278DA" w14:paraId="39760214" w14:textId="77777777">
        <w:trPr>
          <w:cantSplit/>
          <w:jc w:val="center"/>
        </w:trPr>
        <w:tc>
          <w:tcPr>
            <w:tcW w:w="2052" w:type="dxa"/>
            <w:gridSpan w:val="3"/>
            <w:tcBorders>
              <w:top w:val="single" w:sz="18" w:space="0" w:color="000000"/>
              <w:left w:val="single" w:sz="18" w:space="0" w:color="000000"/>
              <w:bottom w:val="single" w:sz="4" w:space="0" w:color="000000"/>
            </w:tcBorders>
            <w:tcMar>
              <w:top w:w="0" w:type="dxa"/>
              <w:left w:w="28" w:type="dxa"/>
              <w:bottom w:w="0" w:type="dxa"/>
              <w:right w:w="28" w:type="dxa"/>
            </w:tcMar>
          </w:tcPr>
          <w:p w14:paraId="77B445DA" w14:textId="77777777" w:rsidR="003278DA" w:rsidRDefault="00000000">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lastRenderedPageBreak/>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tcPr>
          <w:p w14:paraId="59E8AEFC" w14:textId="77777777" w:rsidR="003278DA" w:rsidRDefault="00000000">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14:paraId="4E8DDDE0" w14:textId="77777777" w:rsidR="003278DA" w:rsidRDefault="00000000">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14:paraId="3385BC88" w14:textId="77777777" w:rsidR="003278DA" w:rsidRDefault="00000000">
            <w:pPr>
              <w:pStyle w:val="Standard"/>
              <w:snapToGrid w:val="0"/>
              <w:spacing w:line="280" w:lineRule="exact"/>
              <w:ind w:firstLine="221"/>
              <w:jc w:val="both"/>
            </w:pPr>
            <w:r>
              <w:rPr>
                <w:rFonts w:ascii="標楷體" w:eastAsia="標楷體" w:hAnsi="標楷體" w:cs="新細明體, PMingLiU"/>
                <w:szCs w:val="24"/>
              </w:rPr>
              <w:t>■</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標楷體" w:eastAsia="標楷體" w:hAnsi="標楷體" w:cs="新細明體, PMingLiU"/>
                <w:szCs w:val="24"/>
              </w:rPr>
              <w:t>■</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其他相關資料管理功能</w:t>
            </w:r>
          </w:p>
          <w:p w14:paraId="2C9E854C" w14:textId="77777777" w:rsidR="003278DA" w:rsidRDefault="00000000">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14:paraId="586C90EB" w14:textId="77777777" w:rsidR="003278DA" w:rsidRDefault="00000000">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最新消息發佈、瀏覽</w:t>
            </w:r>
          </w:p>
          <w:p w14:paraId="58007F2E" w14:textId="77777777" w:rsidR="003278DA" w:rsidRDefault="00000000">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教材內容設計、觀看、下載</w:t>
            </w:r>
          </w:p>
          <w:p w14:paraId="261BF290" w14:textId="77777777" w:rsidR="003278DA" w:rsidRDefault="00000000">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成績系統管理及查詢</w:t>
            </w:r>
          </w:p>
          <w:p w14:paraId="1935328A" w14:textId="77777777" w:rsidR="003278DA" w:rsidRDefault="00000000">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進行線上</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14:paraId="28E0A2C3" w14:textId="77777777" w:rsidR="003278DA" w:rsidRDefault="00000000">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學習資訊</w:t>
            </w:r>
          </w:p>
          <w:p w14:paraId="4CD0E962" w14:textId="77777777" w:rsidR="003278DA" w:rsidRDefault="00000000">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14:paraId="05962694" w14:textId="77777777" w:rsidR="003278DA" w:rsidRDefault="00000000">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各種教學活動之功能呈現</w:t>
            </w:r>
          </w:p>
          <w:p w14:paraId="6C52A44D" w14:textId="77777777" w:rsidR="003278DA" w:rsidRDefault="00000000">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3278DA" w14:paraId="00AACC9B" w14:textId="77777777">
        <w:trPr>
          <w:cantSplit/>
          <w:trHeight w:val="1542"/>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7F3A8683" w14:textId="77777777" w:rsidR="003278DA" w:rsidRDefault="00000000">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14:paraId="03475A36" w14:textId="77777777" w:rsidR="003278DA" w:rsidRDefault="00000000">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635C7E97" w14:textId="77777777" w:rsidR="003278DA" w:rsidRDefault="00000000">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教師線上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辦公室時間：</w:t>
            </w:r>
            <w:r>
              <w:rPr>
                <w:rFonts w:ascii="新細明體" w:eastAsia="新細明體" w:hAnsi="新細明體" w:cs="新細明體, PMingLiU"/>
                <w:color w:val="000000"/>
                <w:szCs w:val="24"/>
                <w:u w:val="single"/>
              </w:rPr>
              <w:t>週五(pm. 3: 00- 5: 00)</w:t>
            </w:r>
            <w:r>
              <w:rPr>
                <w:rFonts w:ascii="新細明體, PMingLiU" w:eastAsia="標楷體" w:hAnsi="新細明體, PMingLiU" w:cs="新細明體, PMingLiU"/>
                <w:szCs w:val="24"/>
              </w:rPr>
              <w:t xml:space="preserve"> </w:t>
            </w:r>
            <w:r>
              <w:rPr>
                <w:rFonts w:ascii="新細明體, PMingLiU" w:hAnsi="新細明體, PMingLiU" w:cs="新細明體, PMingLiU"/>
                <w:color w:val="000000"/>
                <w:szCs w:val="24"/>
                <w:u w:val="single"/>
              </w:rPr>
              <w:t xml:space="preserve">                          </w:t>
            </w:r>
          </w:p>
          <w:p w14:paraId="6E7150CE"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教師辦公室時間：</w:t>
            </w:r>
            <w:r>
              <w:rPr>
                <w:rFonts w:ascii="新細明體, PMingLiU" w:hAnsi="新細明體, PMingLiU" w:cs="新細明體, PMingLiU"/>
                <w:color w:val="000000"/>
                <w:szCs w:val="24"/>
                <w:u w:val="single"/>
              </w:rPr>
              <w:t xml:space="preserve">                              </w:t>
            </w:r>
          </w:p>
          <w:p w14:paraId="0C35D98A" w14:textId="77777777" w:rsidR="003278DA" w:rsidRDefault="00000000">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教師</w:t>
            </w:r>
            <w:r>
              <w:rPr>
                <w:rFonts w:ascii="新細明體, PMingLiU" w:eastAsia="標楷體" w:hAnsi="新細明體, PMingLiU" w:cs="新細明體, PMingLiU"/>
                <w:szCs w:val="24"/>
              </w:rPr>
              <w:t>E-mail</w:t>
            </w:r>
            <w:r>
              <w:rPr>
                <w:rFonts w:ascii="新細明體, PMingLiU" w:eastAsia="標楷體" w:hAnsi="新細明體, PMingLiU" w:cs="新細明體, PMingLiU"/>
                <w:szCs w:val="24"/>
              </w:rPr>
              <w:t>信箱：</w:t>
            </w:r>
            <w:r>
              <w:rPr>
                <w:rFonts w:ascii="新細明體, PMingLiU" w:hAnsi="新細明體, PMingLiU" w:cs="新細明體, PMingLiU"/>
                <w:color w:val="000000"/>
                <w:szCs w:val="24"/>
                <w:u w:val="single"/>
              </w:rPr>
              <w:t xml:space="preserve">   shengyenhu@cycu</w:t>
            </w:r>
            <w:r>
              <w:rPr>
                <w:rFonts w:ascii="新細明體" w:eastAsia="新細明體" w:hAnsi="新細明體" w:cs="新細明體"/>
                <w:color w:val="000000"/>
                <w:szCs w:val="24"/>
                <w:u w:val="single"/>
              </w:rPr>
              <w:t>.</w:t>
            </w:r>
            <w:r>
              <w:rPr>
                <w:rFonts w:ascii="新細明體, PMingLiU" w:hAnsi="新細明體, PMingLiU" w:cs="新細明體, PMingLiU"/>
                <w:color w:val="000000"/>
                <w:szCs w:val="24"/>
                <w:u w:val="single"/>
              </w:rPr>
              <w:t>edu</w:t>
            </w:r>
            <w:r>
              <w:rPr>
                <w:rFonts w:ascii="新細明體, PMingLiU" w:eastAsia="新細明體" w:hAnsi="新細明體, PMingLiU" w:cs="新細明體, PMingLiU"/>
                <w:color w:val="000000"/>
                <w:szCs w:val="24"/>
                <w:u w:val="single"/>
              </w:rPr>
              <w:t>.</w:t>
            </w:r>
            <w:r>
              <w:rPr>
                <w:rFonts w:ascii="新細明體, PMingLiU" w:hAnsi="新細明體, PMingLiU" w:cs="新細明體, PMingLiU"/>
                <w:color w:val="000000"/>
                <w:szCs w:val="24"/>
                <w:u w:val="single"/>
              </w:rPr>
              <w:t>tw</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，校內</w:t>
            </w:r>
            <w:r>
              <w:rPr>
                <w:rFonts w:ascii="新細明體, PMingLiU" w:eastAsia="標楷體" w:hAnsi="新細明體, PMingLiU" w:cs="新細明體, PMingLiU"/>
                <w:szCs w:val="24"/>
              </w:rPr>
              <w:t>分機：</w:t>
            </w:r>
            <w:r>
              <w:rPr>
                <w:rFonts w:ascii="新細明體" w:eastAsia="新細明體" w:hAnsi="新細明體" w:cs="新細明體, PMingLiU"/>
                <w:color w:val="000000"/>
                <w:szCs w:val="24"/>
                <w:u w:val="single"/>
              </w:rPr>
              <w:t>4334</w:t>
            </w:r>
            <w:r>
              <w:rPr>
                <w:rFonts w:ascii="新細明體, PMingLiU" w:hAnsi="新細明體, PMingLiU" w:cs="新細明體, PMingLiU"/>
                <w:color w:val="000000"/>
                <w:szCs w:val="24"/>
                <w:u w:val="single"/>
              </w:rPr>
              <w:t xml:space="preserve">         </w:t>
            </w:r>
          </w:p>
          <w:p w14:paraId="08E7296D"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課程助教姓名：</w:t>
            </w:r>
            <w:r>
              <w:rPr>
                <w:rFonts w:ascii="新細明體, PMingLiU" w:hAnsi="新細明體, PMingLiU" w:cs="新細明體, PMingLiU"/>
                <w:color w:val="000000"/>
                <w:szCs w:val="24"/>
                <w:u w:val="single"/>
              </w:rPr>
              <w:t xml:space="preserve">      </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w:t>
            </w:r>
            <w:r>
              <w:rPr>
                <w:rFonts w:ascii="新細明體, PMingLiU" w:eastAsia="標楷體" w:hAnsi="新細明體, PMingLiU" w:cs="新細明體, PMingLiU"/>
                <w:szCs w:val="24"/>
              </w:rPr>
              <w:t>通訊方式：</w:t>
            </w:r>
            <w:r>
              <w:rPr>
                <w:rFonts w:ascii="新細明體, PMingLiU" w:hAnsi="新細明體, PMingLiU" w:cs="新細明體, PMingLiU"/>
                <w:color w:val="000000"/>
                <w:szCs w:val="24"/>
                <w:u w:val="single"/>
              </w:rPr>
              <w:t xml:space="preserve">                      </w:t>
            </w:r>
          </w:p>
          <w:p w14:paraId="272CE71B" w14:textId="77777777" w:rsidR="003278DA" w:rsidRDefault="00000000">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3278DA" w14:paraId="5E637E42" w14:textId="77777777">
        <w:trPr>
          <w:cantSplit/>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337808F6" w14:textId="77777777" w:rsidR="003278DA" w:rsidRDefault="00000000">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1EFC971E" w14:textId="77777777" w:rsidR="003278DA" w:rsidRDefault="00000000">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提供線上說明作業內容</w:t>
            </w:r>
          </w:p>
          <w:p w14:paraId="5B3E1F65"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線上即時作業填答</w:t>
            </w:r>
          </w:p>
          <w:p w14:paraId="79473E71"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線上討論區</w:t>
            </w:r>
          </w:p>
          <w:p w14:paraId="3D3367FE" w14:textId="77777777" w:rsidR="003278DA" w:rsidRDefault="00000000">
            <w:pPr>
              <w:pStyle w:val="Standard"/>
              <w:snapToGrid w:val="0"/>
              <w:spacing w:line="280" w:lineRule="exact"/>
              <w:jc w:val="both"/>
            </w:pPr>
            <w:r>
              <w:rPr>
                <w:rFonts w:ascii="標楷體" w:eastAsia="標楷體" w:hAnsi="標楷體" w:cs="新細明體, PMingLiU"/>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作業檔案上傳及下載</w:t>
            </w:r>
          </w:p>
          <w:p w14:paraId="78294753"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報告</w:t>
            </w:r>
          </w:p>
          <w:p w14:paraId="62A22300"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6.</w:t>
            </w:r>
            <w:r>
              <w:rPr>
                <w:rFonts w:ascii="新細明體, PMingLiU" w:eastAsia="標楷體" w:hAnsi="新細明體, PMingLiU" w:cs="新細明體, PMingLiU"/>
                <w:szCs w:val="24"/>
              </w:rPr>
              <w:t>線上測驗</w:t>
            </w:r>
          </w:p>
          <w:p w14:paraId="0125ADEA"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7.</w:t>
            </w:r>
            <w:r>
              <w:rPr>
                <w:rFonts w:ascii="新細明體, PMingLiU" w:eastAsia="標楷體" w:hAnsi="新細明體, PMingLiU" w:cs="新細明體, PMingLiU"/>
                <w:szCs w:val="24"/>
              </w:rPr>
              <w:t>成績查詢</w:t>
            </w:r>
          </w:p>
          <w:p w14:paraId="1D8DA79A"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3278DA" w14:paraId="0AA4E7EB" w14:textId="77777777">
        <w:trPr>
          <w:cantSplit/>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29EFA1FA" w14:textId="77777777" w:rsidR="003278DA" w:rsidRDefault="00000000">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tcMar>
              <w:top w:w="0" w:type="dxa"/>
              <w:left w:w="28" w:type="dxa"/>
              <w:bottom w:w="0" w:type="dxa"/>
              <w:right w:w="28" w:type="dxa"/>
            </w:tcMar>
            <w:vAlign w:val="center"/>
          </w:tcPr>
          <w:p w14:paraId="6925B681" w14:textId="77777777" w:rsidR="003278DA" w:rsidRDefault="00000000">
            <w:pPr>
              <w:pStyle w:val="Standard"/>
              <w:spacing w:line="280" w:lineRule="exact"/>
            </w:pPr>
            <w:r>
              <w:rPr>
                <w:rFonts w:ascii="標楷體" w:eastAsia="標楷體" w:hAnsi="標楷體" w:cs="新細明體, PMingLiU"/>
                <w:szCs w:val="24"/>
              </w:rPr>
              <w:t>■</w:t>
            </w:r>
            <w:r>
              <w:rPr>
                <w:rFonts w:ascii="新細明體, PMingLiU" w:eastAsia="標楷體" w:hAnsi="新細明體, PMingLiU" w:cs="新細明體, PMingLiU"/>
                <w:bCs/>
                <w:szCs w:val="24"/>
              </w:rPr>
              <w:t>平時成績：</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40   </w:t>
            </w:r>
            <w:r>
              <w:rPr>
                <w:rFonts w:ascii="新細明體, PMingLiU" w:eastAsia="標楷體" w:hAnsi="新細明體, PMingLiU" w:cs="新細明體, PMingLiU"/>
                <w:bCs/>
                <w:szCs w:val="24"/>
              </w:rPr>
              <w:t>％</w:t>
            </w:r>
          </w:p>
          <w:p w14:paraId="66D76607" w14:textId="77777777" w:rsidR="003278DA" w:rsidRDefault="00000000">
            <w:pPr>
              <w:pStyle w:val="Standard"/>
              <w:spacing w:line="280" w:lineRule="exact"/>
            </w:pPr>
            <w:r>
              <w:rPr>
                <w:rFonts w:ascii="標楷體" w:eastAsia="標楷體" w:hAnsi="標楷體" w:cs="標楷體"/>
                <w:bCs/>
                <w:szCs w:val="24"/>
              </w:rPr>
              <w:t>□</w:t>
            </w:r>
            <w:r>
              <w:rPr>
                <w:rFonts w:ascii="新細明體, PMingLiU" w:eastAsia="標楷體" w:hAnsi="新細明體, PMingLiU" w:cs="新細明體, PMingLiU"/>
                <w:bCs/>
                <w:szCs w:val="24"/>
              </w:rPr>
              <w:t>期中考成績：</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7071FB59" w14:textId="77777777" w:rsidR="003278DA" w:rsidRDefault="00000000">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線上互動：</w:t>
            </w:r>
            <w:r>
              <w:rPr>
                <w:rFonts w:ascii="新細明體, PMingLiU" w:hAnsi="新細明體, PMingLiU" w:cs="新細明體, PMingLiU"/>
                <w:color w:val="000000"/>
                <w:szCs w:val="24"/>
              </w:rPr>
              <w:t xml:space="preserve">    </w:t>
            </w:r>
            <w:r>
              <w:rPr>
                <w:rFonts w:ascii="新細明體" w:eastAsia="新細明體" w:hAnsi="新細明體" w:cs="新細明體, PMingLiU"/>
                <w:color w:val="000000"/>
                <w:szCs w:val="24"/>
              </w:rPr>
              <w:t xml:space="preserve">      </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szCs w:val="24"/>
              </w:rPr>
              <w:t>％</w:t>
            </w:r>
          </w:p>
        </w:tc>
        <w:tc>
          <w:tcPr>
            <w:tcW w:w="4891" w:type="dxa"/>
            <w:gridSpan w:val="7"/>
            <w:tcBorders>
              <w:top w:val="single" w:sz="18" w:space="0" w:color="000000"/>
              <w:bottom w:val="single" w:sz="18" w:space="0" w:color="000000"/>
              <w:right w:val="single" w:sz="18" w:space="0" w:color="000000"/>
            </w:tcBorders>
            <w:tcMar>
              <w:top w:w="0" w:type="dxa"/>
              <w:left w:w="28" w:type="dxa"/>
              <w:bottom w:w="0" w:type="dxa"/>
              <w:right w:w="28" w:type="dxa"/>
            </w:tcMar>
            <w:vAlign w:val="center"/>
          </w:tcPr>
          <w:p w14:paraId="5FC4793F" w14:textId="77777777" w:rsidR="003278DA" w:rsidRDefault="00000000">
            <w:pPr>
              <w:pStyle w:val="Standard"/>
              <w:spacing w:line="280" w:lineRule="exact"/>
              <w:ind w:left="16"/>
            </w:pPr>
            <w:r>
              <w:rPr>
                <w:rFonts w:ascii="標楷體" w:eastAsia="標楷體" w:hAnsi="標楷體" w:cs="標楷體"/>
                <w:bCs/>
                <w:szCs w:val="24"/>
              </w:rPr>
              <w:t>□</w:t>
            </w:r>
            <w:r>
              <w:rPr>
                <w:rFonts w:ascii="新細明體, PMingLiU" w:eastAsia="標楷體" w:hAnsi="新細明體, PMingLiU" w:cs="新細明體, PMingLiU"/>
                <w:bCs/>
                <w:szCs w:val="24"/>
              </w:rPr>
              <w:t>作業成績：</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0F6C3FBB" w14:textId="77777777" w:rsidR="003278DA" w:rsidRDefault="00000000">
            <w:pPr>
              <w:pStyle w:val="Standard"/>
              <w:spacing w:line="280" w:lineRule="exact"/>
              <w:ind w:left="16"/>
            </w:pPr>
            <w:r>
              <w:rPr>
                <w:rFonts w:ascii="標楷體" w:eastAsia="標楷體" w:hAnsi="標楷體" w:cs="新細明體, PMingLiU"/>
                <w:szCs w:val="24"/>
              </w:rPr>
              <w:t>■</w:t>
            </w:r>
            <w:r>
              <w:rPr>
                <w:rFonts w:ascii="新細明體, PMingLiU" w:eastAsia="標楷體" w:hAnsi="新細明體, PMingLiU" w:cs="新細明體, PMingLiU"/>
                <w:bCs/>
                <w:szCs w:val="24"/>
              </w:rPr>
              <w:t>期末考成績：</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60   </w:t>
            </w:r>
            <w:r>
              <w:rPr>
                <w:rFonts w:ascii="新細明體, PMingLiU" w:eastAsia="標楷體" w:hAnsi="新細明體, PMingLiU" w:cs="新細明體, PMingLiU"/>
                <w:bCs/>
                <w:szCs w:val="24"/>
              </w:rPr>
              <w:t>％</w:t>
            </w:r>
          </w:p>
          <w:p w14:paraId="46D5943E" w14:textId="77777777" w:rsidR="003278DA" w:rsidRDefault="00000000">
            <w:pPr>
              <w:pStyle w:val="Standard"/>
              <w:snapToGrid w:val="0"/>
              <w:spacing w:line="280" w:lineRule="exact"/>
              <w:ind w:left="16"/>
              <w:jc w:val="both"/>
            </w:pPr>
            <w:r>
              <w:rPr>
                <w:rFonts w:ascii="標楷體" w:eastAsia="標楷體" w:hAnsi="標楷體" w:cs="標楷體"/>
                <w:bCs/>
                <w:szCs w:val="24"/>
              </w:rPr>
              <w:t>□</w:t>
            </w:r>
            <w:r>
              <w:rPr>
                <w:rFonts w:ascii="新細明體, PMingLiU" w:eastAsia="標楷體" w:hAnsi="新細明體, PMingLiU" w:cs="新細明體, PMingLiU"/>
                <w:bCs/>
                <w:szCs w:val="24"/>
              </w:rPr>
              <w:t>其他（</w:t>
            </w:r>
            <w:r>
              <w:rPr>
                <w:rFonts w:ascii="新細明體, PMingLiU" w:hAnsi="新細明體, PMingLiU" w:cs="新細明體, PMingLiU"/>
                <w:bCs/>
                <w:szCs w:val="24"/>
                <w:u w:val="single"/>
              </w:rPr>
              <w:t xml:space="preserve">                  </w:t>
            </w:r>
            <w:r>
              <w:rPr>
                <w:rFonts w:ascii="新細明體, PMingLiU" w:eastAsia="標楷體" w:hAnsi="新細明體, PMingLiU" w:cs="新細明體, PMingLiU"/>
                <w:bCs/>
                <w:szCs w:val="24"/>
              </w:rPr>
              <w:t>）：</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r>
              <w:rPr>
                <w:rFonts w:ascii="新細明體, PMingLiU" w:hAnsi="新細明體, PMingLiU" w:cs="新細明體, PMingLiU"/>
                <w:szCs w:val="24"/>
              </w:rPr>
              <w:t xml:space="preserve">   </w:t>
            </w:r>
          </w:p>
        </w:tc>
      </w:tr>
      <w:tr w:rsidR="003278DA" w14:paraId="2DCB8C47" w14:textId="77777777">
        <w:trPr>
          <w:cantSplit/>
          <w:trHeight w:val="1059"/>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7361CA3B" w14:textId="77777777" w:rsidR="003278DA" w:rsidRDefault="00000000">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tcPr>
          <w:p w14:paraId="7B6D56BC" w14:textId="77777777" w:rsidR="006F55D1" w:rsidRDefault="006F55D1" w:rsidP="006F55D1">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r>
              <w:rPr>
                <w:rFonts w:ascii="新細明體, PMingLiU" w:eastAsia="標楷體" w:hAnsi="新細明體, PMingLiU" w:cs="新細明體, PMingLiU"/>
                <w:b/>
                <w:color w:val="000000"/>
                <w:szCs w:val="24"/>
              </w:rPr>
              <w:t>遵守課堂規矩</w:t>
            </w:r>
          </w:p>
          <w:p w14:paraId="2CA5645B" w14:textId="77777777" w:rsidR="006F55D1" w:rsidRDefault="006F55D1" w:rsidP="006F55D1">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r>
              <w:rPr>
                <w:rFonts w:ascii="新細明體, PMingLiU" w:eastAsia="標楷體" w:hAnsi="新細明體, PMingLiU" w:cs="新細明體, PMingLiU"/>
                <w:b/>
                <w:color w:val="000000"/>
                <w:szCs w:val="24"/>
              </w:rPr>
              <w:t>保持上課精神及體力</w:t>
            </w:r>
          </w:p>
          <w:p w14:paraId="09982B8E" w14:textId="6007CCDA" w:rsidR="003278DA" w:rsidRDefault="006F55D1" w:rsidP="006F55D1">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r>
              <w:rPr>
                <w:rFonts w:ascii="新細明體, PMingLiU" w:eastAsia="標楷體" w:hAnsi="新細明體, PMingLiU" w:cs="新細明體, PMingLiU"/>
                <w:b/>
                <w:color w:val="000000"/>
                <w:szCs w:val="24"/>
              </w:rPr>
              <w:t>課前預習課後勤練實習之</w:t>
            </w:r>
          </w:p>
        </w:tc>
      </w:tr>
      <w:tr w:rsidR="003278DA" w14:paraId="388E8A5B" w14:textId="77777777">
        <w:trPr>
          <w:cantSplit/>
          <w:trHeight w:val="1059"/>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74D14147" w14:textId="77777777" w:rsidR="003278DA" w:rsidRDefault="00000000">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tcPr>
          <w:p w14:paraId="1AC2378F" w14:textId="77777777" w:rsidR="003278DA" w:rsidRDefault="00000000">
            <w:pPr>
              <w:pStyle w:val="Standard"/>
              <w:snapToGrid w:val="0"/>
              <w:spacing w:line="280" w:lineRule="exact"/>
              <w:ind w:left="521" w:hanging="521"/>
              <w:jc w:val="both"/>
            </w:pPr>
            <w:r>
              <w:rPr>
                <w:rFonts w:ascii="標楷體" w:eastAsia="標楷體" w:hAnsi="標楷體" w:cs="標楷體"/>
                <w:b/>
              </w:rPr>
              <w:t>(一)</w:t>
            </w:r>
            <w:r>
              <w:rPr>
                <w:rFonts w:ascii="標楷體" w:eastAsia="標楷體" w:hAnsi="標楷體" w:cs="標楷體"/>
                <w:b/>
                <w:shd w:val="clear" w:color="auto" w:fill="FFFF00"/>
              </w:rPr>
              <w:t>請於遠距開課申請表單填寫時，</w:t>
            </w:r>
            <w:r>
              <w:rPr>
                <w:rFonts w:ascii="標楷體" w:eastAsia="標楷體" w:hAnsi="標楷體" w:cs="標楷體"/>
                <w:b/>
                <w:color w:val="FF0000"/>
                <w:shd w:val="clear" w:color="auto" w:fill="FFFF00"/>
              </w:rPr>
              <w:t>勾選切結同意</w:t>
            </w:r>
            <w:r>
              <w:rPr>
                <w:rFonts w:ascii="標楷體" w:eastAsia="標楷體" w:hAnsi="標楷體" w:cs="標楷體"/>
                <w:b/>
                <w:shd w:val="clear" w:color="auto" w:fill="FFFF00"/>
              </w:rPr>
              <w:t>「遠距教學課程著作權切結書」並隨本教學計畫提報，</w:t>
            </w:r>
            <w:r>
              <w:rPr>
                <w:rFonts w:ascii="標楷體" w:eastAsia="標楷體" w:hAnsi="標楷體" w:cs="標楷體"/>
                <w:b/>
                <w:color w:val="FF0000"/>
                <w:shd w:val="clear" w:color="auto" w:fill="FFFF00"/>
              </w:rPr>
              <w:t>附件四</w:t>
            </w:r>
            <w:r>
              <w:rPr>
                <w:rFonts w:ascii="標楷體" w:eastAsia="標楷體" w:hAnsi="標楷體" w:cs="標楷體"/>
                <w:b/>
                <w:shd w:val="clear" w:color="auto" w:fill="FFFF00"/>
              </w:rPr>
              <w:t>「遠距教學課程著作權切結書」之正式簽署檔案請於期末i-learning遠距品質填報時進行之上傳資料。</w:t>
            </w:r>
          </w:p>
          <w:p w14:paraId="27DA18AE" w14:textId="77777777" w:rsidR="003278DA" w:rsidRDefault="00000000">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14:paraId="74F199BC" w14:textId="77777777" w:rsidR="003278DA" w:rsidRDefault="00000000">
            <w:pPr>
              <w:pStyle w:val="Standard"/>
              <w:snapToGrid w:val="0"/>
              <w:spacing w:line="280" w:lineRule="exact"/>
              <w:ind w:left="238" w:hanging="238"/>
              <w:jc w:val="both"/>
            </w:pPr>
            <w:r>
              <w:rPr>
                <w:rFonts w:ascii="標楷體" w:eastAsia="標楷體" w:hAnsi="標楷體" w:cs="標楷體"/>
                <w:b/>
              </w:rPr>
              <w:t>1.提醒教師就相關教材(含文字、圖片或影音檔)，務請遵守【智慧財產權】並於合理範圍內引用。(請參著作權法第44~65條已訂定相關合理使用的情形)</w:t>
            </w:r>
          </w:p>
          <w:p w14:paraId="73A3A8EB" w14:textId="77777777" w:rsidR="003278DA" w:rsidRDefault="00000000">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14:paraId="689447AA" w14:textId="77777777" w:rsidR="003278DA" w:rsidRDefault="00000000">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臺，同學隨時、隨地均得自由利用，大大地超出合理使用的範圍，應該先取得授權。</w:t>
            </w:r>
            <w:r>
              <w:rPr>
                <w:rFonts w:ascii="標楷體" w:eastAsia="標楷體" w:hAnsi="標楷體" w:cs="標楷體"/>
              </w:rPr>
              <w:t>(節錄自教育部專門委員-章忠信/教材上網所涉著作權議題之因應)</w:t>
            </w:r>
          </w:p>
          <w:p w14:paraId="1B8E2E2F" w14:textId="77777777" w:rsidR="003278DA" w:rsidRDefault="00000000">
            <w:pPr>
              <w:pStyle w:val="Standard"/>
              <w:snapToGrid w:val="0"/>
              <w:spacing w:line="280" w:lineRule="exact"/>
              <w:ind w:left="238" w:hanging="238"/>
              <w:jc w:val="both"/>
            </w:pPr>
            <w:r>
              <w:rPr>
                <w:rFonts w:ascii="標楷體" w:eastAsia="標楷體" w:hAnsi="標楷體" w:cs="標楷體"/>
                <w:b/>
              </w:rPr>
              <w:t>4.善用創用CC授權素材(http://search.creativecommons.org/)，授權條款包括應「姓名標示」、「非商業性」、「禁止改作」以及「相同方式分享」四個授權要素。</w:t>
            </w:r>
          </w:p>
        </w:tc>
      </w:tr>
    </w:tbl>
    <w:p w14:paraId="4F5E9143" w14:textId="77777777" w:rsidR="003278DA" w:rsidRDefault="003278DA">
      <w:pPr>
        <w:pStyle w:val="Standard"/>
      </w:pPr>
    </w:p>
    <w:sectPr w:rsidR="003278DA">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E4C1" w14:textId="77777777" w:rsidR="00483AE6" w:rsidRDefault="00483AE6">
      <w:pPr>
        <w:rPr>
          <w:rFonts w:hint="eastAsia"/>
        </w:rPr>
      </w:pPr>
      <w:r>
        <w:separator/>
      </w:r>
    </w:p>
  </w:endnote>
  <w:endnote w:type="continuationSeparator" w:id="0">
    <w:p w14:paraId="51AAD703" w14:textId="77777777" w:rsidR="00483AE6" w:rsidRDefault="00483A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3ACF" w14:textId="6C592D95" w:rsidR="0003068C" w:rsidRDefault="00000000">
    <w:pPr>
      <w:pStyle w:val="a6"/>
      <w:jc w:val="center"/>
    </w:pPr>
    <w:r>
      <w:fldChar w:fldCharType="begin"/>
    </w:r>
    <w:r>
      <w:instrText xml:space="preserve"> PAGE </w:instrText>
    </w:r>
    <w:r>
      <w:fldChar w:fldCharType="separate"/>
    </w:r>
    <w:r>
      <w:t>3</w:t>
    </w:r>
    <w:r>
      <w:fldChar w:fldCharType="end"/>
    </w:r>
    <w:r>
      <w:t>/</w:t>
    </w:r>
    <w:r w:rsidR="00281B4D">
      <w:rPr>
        <w:rFonts w:hint="eastAsia"/>
      </w:rPr>
      <w:t>4</w:t>
    </w:r>
  </w:p>
  <w:p w14:paraId="3B69E952" w14:textId="77777777" w:rsidR="0003068C" w:rsidRDefault="000306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0E2B" w14:textId="77777777" w:rsidR="00483AE6" w:rsidRDefault="00483AE6">
      <w:pPr>
        <w:rPr>
          <w:rFonts w:hint="eastAsia"/>
        </w:rPr>
      </w:pPr>
      <w:r>
        <w:rPr>
          <w:color w:val="000000"/>
        </w:rPr>
        <w:separator/>
      </w:r>
    </w:p>
  </w:footnote>
  <w:footnote w:type="continuationSeparator" w:id="0">
    <w:p w14:paraId="67FBB228" w14:textId="77777777" w:rsidR="00483AE6" w:rsidRDefault="00483AE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45FA" w14:textId="77777777" w:rsidR="0003068C" w:rsidRDefault="00000000">
    <w:pPr>
      <w:pStyle w:val="a5"/>
      <w:ind w:right="51"/>
      <w:jc w:val="right"/>
    </w:pPr>
    <w:r>
      <w:rPr>
        <w:rFonts w:eastAsia="Calibri" w:cs="Calibri"/>
        <w:sz w:val="24"/>
        <w:szCs w:val="24"/>
      </w:rPr>
      <w:t xml:space="preserve">                                                      </w:t>
    </w:r>
    <w:r>
      <w:rPr>
        <w:rFonts w:ascii="標楷體" w:eastAsia="標楷體" w:hAnsi="標楷體" w:cs="標楷體"/>
        <w:szCs w:val="24"/>
      </w:rPr>
      <w:t>附件三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A73"/>
    <w:multiLevelType w:val="multilevel"/>
    <w:tmpl w:val="A0D0BD6E"/>
    <w:styleLink w:val="WW8Num7"/>
    <w:lvl w:ilvl="0">
      <w:start w:val="1"/>
      <w:numFmt w:val="decimal"/>
      <w:lvlText w:val="%1."/>
      <w:lvlJc w:val="left"/>
      <w:pPr>
        <w:ind w:left="334" w:hanging="360"/>
      </w:pPr>
    </w:lvl>
    <w:lvl w:ilvl="1">
      <w:start w:val="1"/>
      <w:numFmt w:val="ideographTraditional"/>
      <w:lvlText w:val="、"/>
      <w:lvlJc w:val="left"/>
      <w:pPr>
        <w:ind w:left="934" w:hanging="480"/>
      </w:pPr>
    </w:lvl>
    <w:lvl w:ilvl="2">
      <w:start w:val="1"/>
      <w:numFmt w:val="lowerRoman"/>
      <w:lvlText w:val="."/>
      <w:lvlJc w:val="right"/>
      <w:pPr>
        <w:ind w:left="1414" w:hanging="480"/>
      </w:pPr>
    </w:lvl>
    <w:lvl w:ilvl="3">
      <w:start w:val="1"/>
      <w:numFmt w:val="decimal"/>
      <w:lvlText w:val="."/>
      <w:lvlJc w:val="left"/>
      <w:pPr>
        <w:ind w:left="1894" w:hanging="480"/>
      </w:pPr>
    </w:lvl>
    <w:lvl w:ilvl="4">
      <w:start w:val="1"/>
      <w:numFmt w:val="ideographTraditional"/>
      <w:lvlText w:val="、"/>
      <w:lvlJc w:val="left"/>
      <w:pPr>
        <w:ind w:left="2374" w:hanging="480"/>
      </w:pPr>
    </w:lvl>
    <w:lvl w:ilvl="5">
      <w:start w:val="1"/>
      <w:numFmt w:val="lowerRoman"/>
      <w:lvlText w:val="."/>
      <w:lvlJc w:val="right"/>
      <w:pPr>
        <w:ind w:left="2854" w:hanging="480"/>
      </w:pPr>
    </w:lvl>
    <w:lvl w:ilvl="6">
      <w:start w:val="1"/>
      <w:numFmt w:val="decimal"/>
      <w:lvlText w:val="."/>
      <w:lvlJc w:val="left"/>
      <w:pPr>
        <w:ind w:left="3334" w:hanging="480"/>
      </w:pPr>
    </w:lvl>
    <w:lvl w:ilvl="7">
      <w:start w:val="1"/>
      <w:numFmt w:val="ideographTraditional"/>
      <w:lvlText w:val="、"/>
      <w:lvlJc w:val="left"/>
      <w:pPr>
        <w:ind w:left="3814" w:hanging="480"/>
      </w:pPr>
    </w:lvl>
    <w:lvl w:ilvl="8">
      <w:start w:val="1"/>
      <w:numFmt w:val="lowerRoman"/>
      <w:lvlText w:val="."/>
      <w:lvlJc w:val="right"/>
      <w:pPr>
        <w:ind w:left="4294" w:hanging="480"/>
      </w:pPr>
    </w:lvl>
  </w:abstractNum>
  <w:abstractNum w:abstractNumId="1" w15:restartNumberingAfterBreak="0">
    <w:nsid w:val="2F8B3354"/>
    <w:multiLevelType w:val="multilevel"/>
    <w:tmpl w:val="9698D4BC"/>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2" w15:restartNumberingAfterBreak="0">
    <w:nsid w:val="301E375B"/>
    <w:multiLevelType w:val="multilevel"/>
    <w:tmpl w:val="9E36EF72"/>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3" w15:restartNumberingAfterBreak="0">
    <w:nsid w:val="38427B80"/>
    <w:multiLevelType w:val="multilevel"/>
    <w:tmpl w:val="557CDB0C"/>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44D31842"/>
    <w:multiLevelType w:val="multilevel"/>
    <w:tmpl w:val="911C84FC"/>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 w15:restartNumberingAfterBreak="0">
    <w:nsid w:val="606832A6"/>
    <w:multiLevelType w:val="multilevel"/>
    <w:tmpl w:val="8BDC098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6" w15:restartNumberingAfterBreak="0">
    <w:nsid w:val="6EAC0021"/>
    <w:multiLevelType w:val="multilevel"/>
    <w:tmpl w:val="36C0B0D4"/>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7" w15:restartNumberingAfterBreak="0">
    <w:nsid w:val="76915FBD"/>
    <w:multiLevelType w:val="multilevel"/>
    <w:tmpl w:val="466AE0EC"/>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num w:numId="1" w16cid:durableId="1633705270">
    <w:abstractNumId w:val="1"/>
  </w:num>
  <w:num w:numId="2" w16cid:durableId="2020891351">
    <w:abstractNumId w:val="3"/>
  </w:num>
  <w:num w:numId="3" w16cid:durableId="1182428896">
    <w:abstractNumId w:val="2"/>
  </w:num>
  <w:num w:numId="4" w16cid:durableId="1902405123">
    <w:abstractNumId w:val="5"/>
  </w:num>
  <w:num w:numId="5" w16cid:durableId="688334923">
    <w:abstractNumId w:val="4"/>
  </w:num>
  <w:num w:numId="6" w16cid:durableId="270867140">
    <w:abstractNumId w:val="6"/>
  </w:num>
  <w:num w:numId="7" w16cid:durableId="1879780050">
    <w:abstractNumId w:val="0"/>
  </w:num>
  <w:num w:numId="8" w16cid:durableId="631374703">
    <w:abstractNumId w:val="7"/>
  </w:num>
  <w:num w:numId="9" w16cid:durableId="1009721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DA"/>
    <w:rsid w:val="0003068C"/>
    <w:rsid w:val="00057E4E"/>
    <w:rsid w:val="00246435"/>
    <w:rsid w:val="00281B4D"/>
    <w:rsid w:val="0030513F"/>
    <w:rsid w:val="003278DA"/>
    <w:rsid w:val="00483AE6"/>
    <w:rsid w:val="004B3413"/>
    <w:rsid w:val="00690E66"/>
    <w:rsid w:val="006F55D1"/>
    <w:rsid w:val="0071596A"/>
    <w:rsid w:val="00784E1B"/>
    <w:rsid w:val="00BD69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676DB"/>
  <w15:docId w15:val="{6C37D3C0-E332-41E8-9E52-CC8A6ADA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character" w:styleId="a9">
    <w:name w:val="Hyperlink"/>
    <w:basedOn w:val="a0"/>
    <w:rPr>
      <w:color w:val="0563C1"/>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earning.cy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聖彥 胡</cp:lastModifiedBy>
  <cp:revision>6</cp:revision>
  <dcterms:created xsi:type="dcterms:W3CDTF">2026-01-29T10:19:00Z</dcterms:created>
  <dcterms:modified xsi:type="dcterms:W3CDTF">2026-04-28T02:32:00Z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c06dd1c5de45dd889cd9d19be923328512c3df692ba0c35cb641f8517f30a82b</vt:lpwstr>
  </property>
</Properties>
</file>